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C20D7" w14:textId="77777777" w:rsidR="0083776E" w:rsidRDefault="0083776E" w:rsidP="0083776E">
      <w:pPr>
        <w:jc w:val="center"/>
      </w:pPr>
      <w:r>
        <w:rPr>
          <w:noProof/>
          <w:lang w:eastAsia="sv-SE"/>
        </w:rPr>
        <w:drawing>
          <wp:inline distT="0" distB="0" distL="0" distR="0" wp14:anchorId="73B66D57" wp14:editId="388DA25C">
            <wp:extent cx="3950876" cy="3312000"/>
            <wp:effectExtent l="0" t="0" r="1206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rmavbild 2016-05-17 kl. 08.45.06.png"/>
                    <pic:cNvPicPr/>
                  </pic:nvPicPr>
                  <pic:blipFill>
                    <a:blip r:embed="rId4">
                      <a:extLst>
                        <a:ext uri="{28A0092B-C50C-407E-A947-70E740481C1C}">
                          <a14:useLocalDpi xmlns:a14="http://schemas.microsoft.com/office/drawing/2010/main"/>
                        </a:ext>
                      </a:extLst>
                    </a:blip>
                    <a:stretch>
                      <a:fillRect/>
                    </a:stretch>
                  </pic:blipFill>
                  <pic:spPr>
                    <a:xfrm>
                      <a:off x="0" y="0"/>
                      <a:ext cx="3950876" cy="3312000"/>
                    </a:xfrm>
                    <a:prstGeom prst="rect">
                      <a:avLst/>
                    </a:prstGeom>
                  </pic:spPr>
                </pic:pic>
              </a:graphicData>
            </a:graphic>
          </wp:inline>
        </w:drawing>
      </w:r>
    </w:p>
    <w:p w14:paraId="4B34ACF6" w14:textId="77777777" w:rsidR="0083776E" w:rsidRDefault="0083776E" w:rsidP="0083776E">
      <w:pPr>
        <w:jc w:val="center"/>
      </w:pPr>
    </w:p>
    <w:p w14:paraId="3EDC3B30" w14:textId="77777777" w:rsidR="0083776E" w:rsidRDefault="0083776E" w:rsidP="0083776E">
      <w:pPr>
        <w:jc w:val="center"/>
      </w:pPr>
    </w:p>
    <w:p w14:paraId="21D76C1E" w14:textId="77777777" w:rsidR="0083776E" w:rsidRDefault="0083776E" w:rsidP="0083776E">
      <w:pPr>
        <w:jc w:val="center"/>
      </w:pPr>
    </w:p>
    <w:p w14:paraId="605B7FE8" w14:textId="1658DBBC" w:rsidR="0083776E" w:rsidRPr="00E526E9" w:rsidRDefault="00325E5D" w:rsidP="0083776E">
      <w:pPr>
        <w:rPr>
          <w:rFonts w:ascii="Times New Roman" w:hAnsi="Times New Roman" w:cs="Times New Roman"/>
          <w:sz w:val="40"/>
        </w:rPr>
      </w:pPr>
      <w:r>
        <w:rPr>
          <w:rFonts w:ascii="Times New Roman" w:hAnsi="Times New Roman" w:cs="Times New Roman"/>
          <w:sz w:val="40"/>
        </w:rPr>
        <w:t>Stockholm 2017-01-06</w:t>
      </w:r>
    </w:p>
    <w:p w14:paraId="3146CC49" w14:textId="77777777" w:rsidR="0083776E" w:rsidRDefault="0083776E" w:rsidP="0083776E">
      <w:pPr>
        <w:rPr>
          <w:rFonts w:ascii="Times New Roman" w:hAnsi="Times New Roman" w:cs="Times New Roman"/>
          <w:sz w:val="40"/>
        </w:rPr>
      </w:pPr>
    </w:p>
    <w:p w14:paraId="0417E0AB" w14:textId="12D4F721" w:rsidR="0083776E" w:rsidRDefault="0083776E" w:rsidP="0083776E">
      <w:pPr>
        <w:rPr>
          <w:rFonts w:ascii="Times New Roman" w:hAnsi="Times New Roman" w:cs="Times New Roman"/>
          <w:sz w:val="40"/>
        </w:rPr>
      </w:pPr>
      <w:r w:rsidRPr="00E526E9">
        <w:rPr>
          <w:rFonts w:ascii="Times New Roman" w:hAnsi="Times New Roman" w:cs="Times New Roman"/>
          <w:sz w:val="40"/>
        </w:rPr>
        <w:t>Publicistklubben</w:t>
      </w:r>
      <w:r>
        <w:rPr>
          <w:rFonts w:ascii="Times New Roman" w:hAnsi="Times New Roman" w:cs="Times New Roman"/>
          <w:sz w:val="40"/>
        </w:rPr>
        <w:t xml:space="preserve"> ber härmed att få lämna </w:t>
      </w:r>
      <w:r w:rsidR="003D3EC3">
        <w:rPr>
          <w:rFonts w:ascii="Times New Roman" w:hAnsi="Times New Roman" w:cs="Times New Roman"/>
          <w:sz w:val="40"/>
        </w:rPr>
        <w:t>sitt yttrande över</w:t>
      </w:r>
      <w:r>
        <w:rPr>
          <w:rFonts w:ascii="Times New Roman" w:hAnsi="Times New Roman" w:cs="Times New Roman"/>
          <w:sz w:val="40"/>
        </w:rPr>
        <w:t xml:space="preserve"> </w:t>
      </w:r>
      <w:r>
        <w:rPr>
          <w:rFonts w:ascii="Times New Roman" w:hAnsi="Times New Roman" w:cs="Times New Roman"/>
          <w:i/>
          <w:sz w:val="40"/>
        </w:rPr>
        <w:t>Ändrade mediegrundlagar</w:t>
      </w:r>
      <w:r>
        <w:rPr>
          <w:rFonts w:ascii="Times New Roman" w:hAnsi="Times New Roman" w:cs="Times New Roman"/>
          <w:sz w:val="40"/>
        </w:rPr>
        <w:t xml:space="preserve"> (SOU 2016:68).</w:t>
      </w:r>
    </w:p>
    <w:p w14:paraId="2312B2ED" w14:textId="77777777" w:rsidR="0083776E" w:rsidRDefault="0083776E" w:rsidP="0083776E">
      <w:pPr>
        <w:rPr>
          <w:rFonts w:ascii="Times New Roman" w:hAnsi="Times New Roman" w:cs="Times New Roman"/>
          <w:sz w:val="40"/>
        </w:rPr>
      </w:pPr>
    </w:p>
    <w:p w14:paraId="1F66E76C" w14:textId="77777777" w:rsidR="0083776E" w:rsidRDefault="0083776E" w:rsidP="0083776E">
      <w:pPr>
        <w:rPr>
          <w:rFonts w:ascii="Times New Roman" w:hAnsi="Times New Roman" w:cs="Times New Roman"/>
          <w:sz w:val="40"/>
        </w:rPr>
      </w:pPr>
    </w:p>
    <w:p w14:paraId="49C8CBFD" w14:textId="77777777" w:rsidR="0083776E" w:rsidRDefault="0083776E" w:rsidP="0083776E">
      <w:pPr>
        <w:rPr>
          <w:rFonts w:ascii="Times New Roman" w:hAnsi="Times New Roman" w:cs="Times New Roman"/>
          <w:sz w:val="40"/>
        </w:rPr>
      </w:pPr>
      <w:r>
        <w:rPr>
          <w:rFonts w:ascii="Times New Roman" w:hAnsi="Times New Roman" w:cs="Times New Roman"/>
          <w:sz w:val="40"/>
        </w:rPr>
        <w:t>Hälsningar</w:t>
      </w:r>
    </w:p>
    <w:p w14:paraId="374673C4" w14:textId="77777777" w:rsidR="0083776E" w:rsidRDefault="0083776E" w:rsidP="0083776E">
      <w:pPr>
        <w:rPr>
          <w:rFonts w:ascii="Times New Roman" w:hAnsi="Times New Roman" w:cs="Times New Roman"/>
          <w:sz w:val="40"/>
        </w:rPr>
      </w:pPr>
    </w:p>
    <w:p w14:paraId="24D3EB4A" w14:textId="77777777" w:rsidR="0083776E" w:rsidRDefault="0083776E" w:rsidP="0083776E">
      <w:pPr>
        <w:rPr>
          <w:rFonts w:ascii="Times New Roman" w:hAnsi="Times New Roman" w:cs="Times New Roman"/>
          <w:sz w:val="40"/>
        </w:rPr>
      </w:pPr>
    </w:p>
    <w:p w14:paraId="70F63B7D" w14:textId="77777777" w:rsidR="0083776E" w:rsidRDefault="0083776E" w:rsidP="0083776E">
      <w:pPr>
        <w:rPr>
          <w:rFonts w:ascii="Times New Roman" w:hAnsi="Times New Roman" w:cs="Times New Roman"/>
          <w:sz w:val="40"/>
        </w:rPr>
      </w:pPr>
    </w:p>
    <w:p w14:paraId="315520CC" w14:textId="77777777" w:rsidR="0083776E" w:rsidRDefault="0083776E" w:rsidP="0083776E">
      <w:pPr>
        <w:rPr>
          <w:rFonts w:ascii="Times New Roman" w:hAnsi="Times New Roman" w:cs="Times New Roman"/>
          <w:sz w:val="40"/>
        </w:rPr>
      </w:pPr>
      <w:r>
        <w:rPr>
          <w:rFonts w:ascii="Times New Roman" w:hAnsi="Times New Roman" w:cs="Times New Roman"/>
          <w:sz w:val="40"/>
        </w:rPr>
        <w:t>Björn Häger</w:t>
      </w:r>
    </w:p>
    <w:p w14:paraId="29D80BA6" w14:textId="77777777" w:rsidR="0083776E" w:rsidRDefault="0083776E" w:rsidP="0083776E">
      <w:pPr>
        <w:rPr>
          <w:rFonts w:ascii="Times New Roman" w:hAnsi="Times New Roman" w:cs="Times New Roman"/>
          <w:sz w:val="40"/>
        </w:rPr>
      </w:pPr>
      <w:r>
        <w:rPr>
          <w:rFonts w:ascii="Times New Roman" w:hAnsi="Times New Roman" w:cs="Times New Roman"/>
          <w:sz w:val="40"/>
        </w:rPr>
        <w:t>ordförande</w:t>
      </w:r>
    </w:p>
    <w:p w14:paraId="6043BB77" w14:textId="77777777" w:rsidR="0083776E" w:rsidRDefault="0083776E" w:rsidP="0083776E">
      <w:pPr>
        <w:rPr>
          <w:rFonts w:ascii="Times New Roman" w:hAnsi="Times New Roman" w:cs="Times New Roman"/>
          <w:sz w:val="40"/>
        </w:rPr>
      </w:pPr>
    </w:p>
    <w:p w14:paraId="217BAE1B" w14:textId="77777777" w:rsidR="0083776E" w:rsidRDefault="0083776E" w:rsidP="0083776E">
      <w:pPr>
        <w:rPr>
          <w:rFonts w:ascii="Times New Roman" w:hAnsi="Times New Roman" w:cs="Times New Roman"/>
          <w:sz w:val="40"/>
        </w:rPr>
      </w:pPr>
      <w:r>
        <w:rPr>
          <w:rFonts w:ascii="Times New Roman" w:hAnsi="Times New Roman" w:cs="Times New Roman"/>
          <w:sz w:val="40"/>
        </w:rPr>
        <w:t>Vår referens:</w:t>
      </w:r>
    </w:p>
    <w:p w14:paraId="20D30E8A" w14:textId="77777777" w:rsidR="0083776E" w:rsidRDefault="0083776E" w:rsidP="0083776E">
      <w:pPr>
        <w:rPr>
          <w:rFonts w:ascii="Times New Roman" w:hAnsi="Times New Roman" w:cs="Times New Roman"/>
          <w:sz w:val="40"/>
        </w:rPr>
      </w:pPr>
      <w:r>
        <w:rPr>
          <w:rFonts w:ascii="Times New Roman" w:hAnsi="Times New Roman" w:cs="Times New Roman"/>
          <w:sz w:val="40"/>
        </w:rPr>
        <w:t>Nils Funcke</w:t>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t xml:space="preserve"> </w:t>
      </w:r>
      <w:hyperlink r:id="rId5" w:history="1">
        <w:r>
          <w:rPr>
            <w:rStyle w:val="Hyperlnk"/>
            <w:rFonts w:ascii="Times New Roman" w:hAnsi="Times New Roman" w:cs="Times New Roman"/>
            <w:sz w:val="40"/>
          </w:rPr>
          <w:t>n</w:t>
        </w:r>
        <w:r w:rsidRPr="004141D0">
          <w:rPr>
            <w:rStyle w:val="Hyperlnk"/>
            <w:rFonts w:ascii="Times New Roman" w:hAnsi="Times New Roman" w:cs="Times New Roman"/>
            <w:sz w:val="40"/>
          </w:rPr>
          <w:t>ils.funcke@gmail.com</w:t>
        </w:r>
      </w:hyperlink>
    </w:p>
    <w:p w14:paraId="5BE1779B" w14:textId="77777777" w:rsidR="0083776E" w:rsidRPr="00E526E9" w:rsidRDefault="0083776E" w:rsidP="0083776E">
      <w:pPr>
        <w:rPr>
          <w:rFonts w:ascii="Times New Roman" w:hAnsi="Times New Roman" w:cs="Times New Roman"/>
          <w:sz w:val="40"/>
        </w:rPr>
      </w:pPr>
      <w:r>
        <w:rPr>
          <w:rFonts w:ascii="Times New Roman" w:hAnsi="Times New Roman" w:cs="Times New Roman"/>
          <w:sz w:val="40"/>
        </w:rPr>
        <w:t>072 - 563 38 64</w:t>
      </w:r>
      <w:r>
        <w:rPr>
          <w:rFonts w:ascii="Times New Roman" w:hAnsi="Times New Roman" w:cs="Times New Roman"/>
          <w:sz w:val="40"/>
        </w:rPr>
        <w:tab/>
      </w:r>
    </w:p>
    <w:p w14:paraId="7FDE296C" w14:textId="6C080F83" w:rsidR="00897280" w:rsidRDefault="00897280">
      <w:r>
        <w:lastRenderedPageBreak/>
        <w:t>Justitiedepartementet</w:t>
      </w:r>
    </w:p>
    <w:p w14:paraId="363294A7" w14:textId="77777777" w:rsidR="003637F3" w:rsidRDefault="003637F3">
      <w:r>
        <w:t>Grundlagsenheten</w:t>
      </w:r>
    </w:p>
    <w:p w14:paraId="67D50421" w14:textId="77777777" w:rsidR="003637F3" w:rsidRDefault="003637F3">
      <w:r>
        <w:t>Lisa Englund Krafft</w:t>
      </w:r>
    </w:p>
    <w:p w14:paraId="7681C8FA" w14:textId="720C59AD" w:rsidR="00897280" w:rsidRDefault="00897280">
      <w:r>
        <w:t xml:space="preserve">103 </w:t>
      </w:r>
      <w:proofErr w:type="gramStart"/>
      <w:r>
        <w:t>33  STOCKHOLM</w:t>
      </w:r>
      <w:proofErr w:type="gramEnd"/>
    </w:p>
    <w:p w14:paraId="0C47F5A0" w14:textId="77777777" w:rsidR="00897280" w:rsidRDefault="00897280"/>
    <w:p w14:paraId="6C594C34" w14:textId="77777777" w:rsidR="00897280" w:rsidRDefault="00897280">
      <w:pPr>
        <w:rPr>
          <w:rFonts w:ascii="Times New Roman" w:hAnsi="Times New Roman" w:cs="Times New Roman"/>
          <w:b/>
          <w:sz w:val="28"/>
        </w:rPr>
      </w:pPr>
    </w:p>
    <w:p w14:paraId="79D28C9D" w14:textId="07AC9768" w:rsidR="00897280" w:rsidRDefault="00897280">
      <w:pPr>
        <w:rPr>
          <w:rFonts w:ascii="Times New Roman" w:hAnsi="Times New Roman" w:cs="Times New Roman"/>
          <w:b/>
          <w:sz w:val="28"/>
        </w:rPr>
      </w:pPr>
      <w:r w:rsidRPr="00897280">
        <w:rPr>
          <w:rFonts w:ascii="Times New Roman" w:hAnsi="Times New Roman" w:cs="Times New Roman"/>
          <w:b/>
          <w:sz w:val="28"/>
        </w:rPr>
        <w:t xml:space="preserve">Yttrande över betänkandet </w:t>
      </w:r>
      <w:r w:rsidRPr="00C87F83">
        <w:rPr>
          <w:rFonts w:ascii="Times New Roman" w:hAnsi="Times New Roman" w:cs="Times New Roman"/>
          <w:b/>
          <w:sz w:val="28"/>
        </w:rPr>
        <w:t>Ändrade mediegrundlagar</w:t>
      </w:r>
      <w:r>
        <w:rPr>
          <w:rFonts w:ascii="Times New Roman" w:hAnsi="Times New Roman" w:cs="Times New Roman"/>
          <w:b/>
          <w:sz w:val="28"/>
        </w:rPr>
        <w:t xml:space="preserve"> (SOU 2016:68)</w:t>
      </w:r>
    </w:p>
    <w:p w14:paraId="362D6C9D" w14:textId="77777777" w:rsidR="00897280" w:rsidRDefault="00897280">
      <w:pPr>
        <w:rPr>
          <w:rFonts w:ascii="Times New Roman" w:hAnsi="Times New Roman" w:cs="Times New Roman"/>
          <w:b/>
          <w:sz w:val="28"/>
        </w:rPr>
      </w:pPr>
    </w:p>
    <w:p w14:paraId="0339387E" w14:textId="4B2A232C" w:rsidR="00897280" w:rsidRDefault="00DE4B8A">
      <w:pPr>
        <w:rPr>
          <w:rFonts w:ascii="Times New Roman" w:hAnsi="Times New Roman" w:cs="Times New Roman"/>
        </w:rPr>
      </w:pPr>
      <w:r>
        <w:rPr>
          <w:rFonts w:ascii="Times New Roman" w:hAnsi="Times New Roman" w:cs="Times New Roman"/>
        </w:rPr>
        <w:t xml:space="preserve">Härmed överlämnar </w:t>
      </w:r>
      <w:r w:rsidR="00C87F83">
        <w:rPr>
          <w:rFonts w:ascii="Times New Roman" w:hAnsi="Times New Roman" w:cs="Times New Roman"/>
        </w:rPr>
        <w:t>Publicistklubben</w:t>
      </w:r>
      <w:r>
        <w:rPr>
          <w:rFonts w:ascii="Times New Roman" w:hAnsi="Times New Roman" w:cs="Times New Roman"/>
        </w:rPr>
        <w:t xml:space="preserve"> </w:t>
      </w:r>
      <w:r w:rsidR="00C87F83">
        <w:rPr>
          <w:rFonts w:ascii="Times New Roman" w:hAnsi="Times New Roman" w:cs="Times New Roman"/>
        </w:rPr>
        <w:t>s</w:t>
      </w:r>
      <w:r>
        <w:rPr>
          <w:rFonts w:ascii="Times New Roman" w:hAnsi="Times New Roman" w:cs="Times New Roman"/>
        </w:rPr>
        <w:t>itt</w:t>
      </w:r>
      <w:r w:rsidR="00C87F83">
        <w:rPr>
          <w:rFonts w:ascii="Times New Roman" w:hAnsi="Times New Roman" w:cs="Times New Roman"/>
        </w:rPr>
        <w:t xml:space="preserve"> </w:t>
      </w:r>
      <w:r w:rsidR="00897280" w:rsidRPr="00200C96">
        <w:rPr>
          <w:rFonts w:ascii="Times New Roman" w:hAnsi="Times New Roman" w:cs="Times New Roman"/>
        </w:rPr>
        <w:t>remiss</w:t>
      </w:r>
      <w:r w:rsidR="00C87F83">
        <w:rPr>
          <w:rFonts w:ascii="Times New Roman" w:hAnsi="Times New Roman" w:cs="Times New Roman"/>
        </w:rPr>
        <w:t xml:space="preserve">yttrande </w:t>
      </w:r>
      <w:r w:rsidR="00897280" w:rsidRPr="00200C96">
        <w:rPr>
          <w:rFonts w:ascii="Times New Roman" w:hAnsi="Times New Roman" w:cs="Times New Roman"/>
        </w:rPr>
        <w:t>över Mediegrundlagskommitténs betänkande om ändringar yttrandefrihetsgrundlagarna</w:t>
      </w:r>
      <w:r w:rsidR="00200C96">
        <w:rPr>
          <w:rFonts w:ascii="Times New Roman" w:hAnsi="Times New Roman" w:cs="Times New Roman"/>
        </w:rPr>
        <w:t xml:space="preserve">, tryckfrihetsförordningen </w:t>
      </w:r>
      <w:r w:rsidR="00D964C1">
        <w:rPr>
          <w:rFonts w:ascii="Times New Roman" w:hAnsi="Times New Roman" w:cs="Times New Roman"/>
        </w:rPr>
        <w:t xml:space="preserve">(TF) </w:t>
      </w:r>
      <w:r w:rsidR="00200C96">
        <w:rPr>
          <w:rFonts w:ascii="Times New Roman" w:hAnsi="Times New Roman" w:cs="Times New Roman"/>
        </w:rPr>
        <w:t xml:space="preserve">och yttrandefrihetsgrundlagen </w:t>
      </w:r>
      <w:r w:rsidR="00D964C1">
        <w:rPr>
          <w:rFonts w:ascii="Times New Roman" w:hAnsi="Times New Roman" w:cs="Times New Roman"/>
        </w:rPr>
        <w:t>(</w:t>
      </w:r>
      <w:proofErr w:type="spellStart"/>
      <w:r w:rsidR="00D964C1">
        <w:rPr>
          <w:rFonts w:ascii="Times New Roman" w:hAnsi="Times New Roman" w:cs="Times New Roman"/>
        </w:rPr>
        <w:t>YGL</w:t>
      </w:r>
      <w:proofErr w:type="spellEnd"/>
      <w:r w:rsidR="00D964C1">
        <w:rPr>
          <w:rFonts w:ascii="Times New Roman" w:hAnsi="Times New Roman" w:cs="Times New Roman"/>
        </w:rPr>
        <w:t xml:space="preserve">) </w:t>
      </w:r>
      <w:r w:rsidR="00200C96">
        <w:rPr>
          <w:rFonts w:ascii="Times New Roman" w:hAnsi="Times New Roman" w:cs="Times New Roman"/>
        </w:rPr>
        <w:t>samt i tillämpningslagen</w:t>
      </w:r>
      <w:r w:rsidR="00897280" w:rsidRPr="00200C96">
        <w:rPr>
          <w:rFonts w:ascii="Times New Roman" w:hAnsi="Times New Roman" w:cs="Times New Roman"/>
        </w:rPr>
        <w:t>.</w:t>
      </w:r>
    </w:p>
    <w:p w14:paraId="1A021530" w14:textId="77777777" w:rsidR="00200C96" w:rsidRDefault="00200C96">
      <w:pPr>
        <w:rPr>
          <w:rFonts w:ascii="Times New Roman" w:hAnsi="Times New Roman" w:cs="Times New Roman"/>
        </w:rPr>
      </w:pPr>
    </w:p>
    <w:p w14:paraId="762997F0" w14:textId="77777777" w:rsidR="00C87F83" w:rsidRDefault="00C87F83">
      <w:pPr>
        <w:rPr>
          <w:rFonts w:ascii="Times New Roman" w:hAnsi="Times New Roman" w:cs="Times New Roman"/>
          <w:b/>
        </w:rPr>
      </w:pPr>
      <w:r>
        <w:rPr>
          <w:rFonts w:ascii="Times New Roman" w:hAnsi="Times New Roman" w:cs="Times New Roman"/>
          <w:b/>
        </w:rPr>
        <w:t>Inledning</w:t>
      </w:r>
    </w:p>
    <w:p w14:paraId="527C6103" w14:textId="77777777" w:rsidR="00893520" w:rsidRDefault="00AF43DB">
      <w:pPr>
        <w:rPr>
          <w:rFonts w:ascii="Times New Roman" w:hAnsi="Times New Roman" w:cs="Times New Roman"/>
        </w:rPr>
      </w:pPr>
      <w:r>
        <w:rPr>
          <w:rFonts w:ascii="Times New Roman" w:hAnsi="Times New Roman" w:cs="Times New Roman"/>
        </w:rPr>
        <w:t xml:space="preserve">Redan inledningsvis vill vi poängtera betydelsen av att </w:t>
      </w:r>
      <w:r w:rsidR="00893520">
        <w:rPr>
          <w:rFonts w:ascii="Times New Roman" w:hAnsi="Times New Roman" w:cs="Times New Roman"/>
        </w:rPr>
        <w:t xml:space="preserve">de bestämmelser som reglerar tryck- och yttrandefriheten finns i grundlag. Det gäller i synnerhet detaljerna i de grundprinciper som är direkt bärande för den fria åsiktsbildningen som t.ex. meddelarfriheten och ensamansvaret men även TF och </w:t>
      </w:r>
      <w:proofErr w:type="spellStart"/>
      <w:r w:rsidR="00893520">
        <w:rPr>
          <w:rFonts w:ascii="Times New Roman" w:hAnsi="Times New Roman" w:cs="Times New Roman"/>
        </w:rPr>
        <w:t>YGL:s</w:t>
      </w:r>
      <w:proofErr w:type="spellEnd"/>
      <w:r w:rsidR="00893520">
        <w:rPr>
          <w:rFonts w:ascii="Times New Roman" w:hAnsi="Times New Roman" w:cs="Times New Roman"/>
        </w:rPr>
        <w:t xml:space="preserve"> formella tillämpningsområde.</w:t>
      </w:r>
    </w:p>
    <w:p w14:paraId="61BCDCA9" w14:textId="77777777" w:rsidR="00893520" w:rsidRDefault="00893520">
      <w:pPr>
        <w:rPr>
          <w:rFonts w:ascii="Times New Roman" w:hAnsi="Times New Roman" w:cs="Times New Roman"/>
        </w:rPr>
      </w:pPr>
    </w:p>
    <w:p w14:paraId="62DAAD48" w14:textId="3859D574" w:rsidR="00C87F83" w:rsidRDefault="00893520">
      <w:pPr>
        <w:rPr>
          <w:rFonts w:ascii="Times New Roman" w:hAnsi="Times New Roman" w:cs="Times New Roman"/>
        </w:rPr>
      </w:pPr>
      <w:r>
        <w:rPr>
          <w:rFonts w:ascii="Times New Roman" w:hAnsi="Times New Roman" w:cs="Times New Roman"/>
        </w:rPr>
        <w:t xml:space="preserve">Vi är därför mycket skeptiska till att bryta ut eller med delegationsregler </w:t>
      </w:r>
      <w:r w:rsidR="004E2F0C">
        <w:rPr>
          <w:rFonts w:ascii="Times New Roman" w:hAnsi="Times New Roman" w:cs="Times New Roman"/>
        </w:rPr>
        <w:t>bokstavligt</w:t>
      </w:r>
      <w:bookmarkStart w:id="0" w:name="_GoBack"/>
      <w:bookmarkEnd w:id="0"/>
      <w:r>
        <w:rPr>
          <w:rFonts w:ascii="Times New Roman" w:hAnsi="Times New Roman" w:cs="Times New Roman"/>
        </w:rPr>
        <w:t xml:space="preserve"> talat erodera yttrandefrihetsgrundlagarna inifrån och därmed minska deras tyngd och betydelse. </w:t>
      </w:r>
      <w:r w:rsidR="00325E5D">
        <w:rPr>
          <w:rFonts w:ascii="Times New Roman" w:hAnsi="Times New Roman" w:cs="Times New Roman"/>
        </w:rPr>
        <w:t xml:space="preserve">Även om avsikterna och intentionerna är de bästa visar historien att sådana ”hål” eller ”fönster” i grundlagarna i en </w:t>
      </w:r>
      <w:r w:rsidR="003D3EC3">
        <w:rPr>
          <w:rFonts w:ascii="Times New Roman" w:hAnsi="Times New Roman" w:cs="Times New Roman"/>
        </w:rPr>
        <w:t>spänd samhälls</w:t>
      </w:r>
      <w:r w:rsidR="00325E5D">
        <w:rPr>
          <w:rFonts w:ascii="Times New Roman" w:hAnsi="Times New Roman" w:cs="Times New Roman"/>
        </w:rPr>
        <w:t xml:space="preserve">situation kan komma att användas för att stoppa eller stävja yttranden som för stunden inte anses lämpliga. </w:t>
      </w:r>
      <w:r>
        <w:rPr>
          <w:rFonts w:ascii="Times New Roman" w:hAnsi="Times New Roman" w:cs="Times New Roman"/>
        </w:rPr>
        <w:t>Däremot kan självfallet bestämmelser av mer administrativ betydelse läggas i tillämpningslagen men ett sådant arbete måste göras efter noggranna överväganden och med varsamhet.</w:t>
      </w:r>
    </w:p>
    <w:p w14:paraId="1E4F3677" w14:textId="77777777" w:rsidR="00846634" w:rsidRDefault="00846634">
      <w:pPr>
        <w:rPr>
          <w:rFonts w:ascii="Times New Roman" w:hAnsi="Times New Roman" w:cs="Times New Roman"/>
        </w:rPr>
      </w:pPr>
    </w:p>
    <w:p w14:paraId="5FE92D4C" w14:textId="2A0E0ABC" w:rsidR="00846634" w:rsidRPr="00C87F83" w:rsidRDefault="00846634">
      <w:pPr>
        <w:rPr>
          <w:rFonts w:ascii="Times New Roman" w:hAnsi="Times New Roman" w:cs="Times New Roman"/>
        </w:rPr>
      </w:pPr>
      <w:r>
        <w:rPr>
          <w:rFonts w:ascii="Times New Roman" w:hAnsi="Times New Roman" w:cs="Times New Roman"/>
        </w:rPr>
        <w:t xml:space="preserve">Det har inte varit kommitténs uppgift och ryms inte inom detta lagstiftningsarbete att se över de brott som räknas upp i brottskatalogen. Men vi tar oss friheten att här framföra ett önskemål om att brottskatalogen ses över inte minst med tanke på att praxis, t.ex. vad gäller brottet hets mot folkgrupp. I </w:t>
      </w:r>
      <w:proofErr w:type="gramStart"/>
      <w:r w:rsidR="003D3EC3">
        <w:rPr>
          <w:rFonts w:ascii="Times New Roman" w:hAnsi="Times New Roman" w:cs="Times New Roman"/>
        </w:rPr>
        <w:t>ett sådant</w:t>
      </w:r>
      <w:r>
        <w:rPr>
          <w:rFonts w:ascii="Times New Roman" w:hAnsi="Times New Roman" w:cs="Times New Roman"/>
        </w:rPr>
        <w:t xml:space="preserve"> sammanhanget</w:t>
      </w:r>
      <w:proofErr w:type="gramEnd"/>
      <w:r>
        <w:rPr>
          <w:rFonts w:ascii="Times New Roman" w:hAnsi="Times New Roman" w:cs="Times New Roman"/>
        </w:rPr>
        <w:t xml:space="preserve"> bör det också övervägas om de bestämmelser som misspryder TF och </w:t>
      </w:r>
      <w:proofErr w:type="spellStart"/>
      <w:r>
        <w:rPr>
          <w:rFonts w:ascii="Times New Roman" w:hAnsi="Times New Roman" w:cs="Times New Roman"/>
        </w:rPr>
        <w:t>YGL</w:t>
      </w:r>
      <w:proofErr w:type="spellEnd"/>
      <w:r>
        <w:rPr>
          <w:rFonts w:ascii="Times New Roman" w:hAnsi="Times New Roman" w:cs="Times New Roman"/>
        </w:rPr>
        <w:t xml:space="preserve"> idag kan tas bort, t.ex. möjligheten att belägga en skrift med utgivningsförbud i TF (s. 678).</w:t>
      </w:r>
    </w:p>
    <w:p w14:paraId="7A369B30" w14:textId="77777777" w:rsidR="00C87F83" w:rsidRDefault="00C87F83">
      <w:pPr>
        <w:rPr>
          <w:rFonts w:ascii="Times New Roman" w:hAnsi="Times New Roman" w:cs="Times New Roman"/>
          <w:b/>
        </w:rPr>
      </w:pPr>
    </w:p>
    <w:p w14:paraId="5CF39C64" w14:textId="34B6C61A" w:rsidR="00200C96" w:rsidRPr="00D964C1" w:rsidRDefault="00D964C1">
      <w:pPr>
        <w:rPr>
          <w:rFonts w:ascii="Times New Roman" w:hAnsi="Times New Roman" w:cs="Times New Roman"/>
          <w:b/>
        </w:rPr>
      </w:pPr>
      <w:r w:rsidRPr="00D964C1">
        <w:rPr>
          <w:rFonts w:ascii="Times New Roman" w:hAnsi="Times New Roman" w:cs="Times New Roman"/>
          <w:b/>
        </w:rPr>
        <w:t>III.</w:t>
      </w:r>
      <w:r w:rsidRPr="00D964C1">
        <w:rPr>
          <w:rFonts w:ascii="Times New Roman" w:hAnsi="Times New Roman" w:cs="Times New Roman"/>
          <w:b/>
        </w:rPr>
        <w:tab/>
        <w:t xml:space="preserve">Språk och struktur i TF och </w:t>
      </w:r>
      <w:proofErr w:type="spellStart"/>
      <w:r w:rsidRPr="00D964C1">
        <w:rPr>
          <w:rFonts w:ascii="Times New Roman" w:hAnsi="Times New Roman" w:cs="Times New Roman"/>
          <w:b/>
        </w:rPr>
        <w:t>YGL</w:t>
      </w:r>
      <w:proofErr w:type="spellEnd"/>
    </w:p>
    <w:p w14:paraId="38692764" w14:textId="77777777" w:rsidR="00763D1C" w:rsidRDefault="00763D1C">
      <w:pPr>
        <w:rPr>
          <w:rFonts w:ascii="Times New Roman" w:hAnsi="Times New Roman" w:cs="Times New Roman"/>
        </w:rPr>
      </w:pPr>
    </w:p>
    <w:p w14:paraId="68D3ADA2" w14:textId="77777777" w:rsidR="003E4325" w:rsidRDefault="00893520">
      <w:pPr>
        <w:rPr>
          <w:rFonts w:ascii="Times New Roman" w:hAnsi="Times New Roman" w:cs="Times New Roman"/>
        </w:rPr>
      </w:pPr>
      <w:r>
        <w:rPr>
          <w:rFonts w:ascii="Times New Roman" w:hAnsi="Times New Roman" w:cs="Times New Roman"/>
        </w:rPr>
        <w:t>K</w:t>
      </w:r>
      <w:r w:rsidR="00DE7F00">
        <w:rPr>
          <w:rFonts w:ascii="Times New Roman" w:hAnsi="Times New Roman" w:cs="Times New Roman"/>
        </w:rPr>
        <w:t xml:space="preserve">ommittén </w:t>
      </w:r>
      <w:r w:rsidR="00763D1C">
        <w:rPr>
          <w:rFonts w:ascii="Times New Roman" w:hAnsi="Times New Roman" w:cs="Times New Roman"/>
        </w:rPr>
        <w:t>vill flytta</w:t>
      </w:r>
      <w:r w:rsidR="00C90489">
        <w:rPr>
          <w:rFonts w:ascii="Times New Roman" w:hAnsi="Times New Roman" w:cs="Times New Roman"/>
        </w:rPr>
        <w:t xml:space="preserve"> ett antal bestämmelser av formella karaktär till tillämpningslagen</w:t>
      </w:r>
      <w:r w:rsidR="00FE4592">
        <w:rPr>
          <w:rFonts w:ascii="Times New Roman" w:hAnsi="Times New Roman" w:cs="Times New Roman"/>
        </w:rPr>
        <w:t xml:space="preserve">. Vi har inget att invända mot att detaljer som gäller utgivningsbevis </w:t>
      </w:r>
      <w:r w:rsidR="003E4325">
        <w:rPr>
          <w:rFonts w:ascii="Times New Roman" w:hAnsi="Times New Roman" w:cs="Times New Roman"/>
        </w:rPr>
        <w:t>för periodiska skrifter flyttas från TF till tillämpningslagen (s. 244). Det finns även bestämmelser som gäller utgivningsbevis som i det fortsatta lagstiftningsarbetet kan övervägas om de inte kan utmönstras. Vi tänker på kravet att den som önskar ge ut en periodisk skrift ska lämna in en utgivningsplan samt hålla denna uppdaterad. Kraven framstår som onödigt byråkratiska och spelar i praktiken ingen roll för om en skrift ska falla utanför eller innanför TF:s tillämpningsområde.</w:t>
      </w:r>
    </w:p>
    <w:p w14:paraId="27579309" w14:textId="77777777" w:rsidR="003E4325" w:rsidRDefault="003E4325">
      <w:pPr>
        <w:rPr>
          <w:rFonts w:ascii="Times New Roman" w:hAnsi="Times New Roman" w:cs="Times New Roman"/>
        </w:rPr>
      </w:pPr>
    </w:p>
    <w:p w14:paraId="44D10B09" w14:textId="77777777" w:rsidR="00C07719" w:rsidRDefault="003E4325">
      <w:pPr>
        <w:rPr>
          <w:rFonts w:ascii="Times New Roman" w:hAnsi="Times New Roman" w:cs="Times New Roman"/>
        </w:rPr>
      </w:pPr>
      <w:r>
        <w:rPr>
          <w:rFonts w:ascii="Times New Roman" w:hAnsi="Times New Roman" w:cs="Times New Roman"/>
        </w:rPr>
        <w:t>Vi delar också kommitténs slutsats att även detaljbestämmelserna som gäller jurysystemet även i fortsättningen ska ligga i TF (s. 245). Juryprövningen är central för att säkerställa en vid yttrandefrihet</w:t>
      </w:r>
      <w:r w:rsidR="00C07719">
        <w:rPr>
          <w:rFonts w:ascii="Times New Roman" w:hAnsi="Times New Roman" w:cs="Times New Roman"/>
        </w:rPr>
        <w:t xml:space="preserve"> och systemet ska inte kunna rubbas genom ett enkelt riksdagsbeslut.</w:t>
      </w:r>
    </w:p>
    <w:p w14:paraId="7D2BC700" w14:textId="77777777" w:rsidR="00C90489" w:rsidRDefault="00C90489">
      <w:pPr>
        <w:rPr>
          <w:rFonts w:ascii="Times New Roman" w:hAnsi="Times New Roman" w:cs="Times New Roman"/>
        </w:rPr>
      </w:pPr>
    </w:p>
    <w:p w14:paraId="4C0CABE4" w14:textId="01132080" w:rsidR="0013106F" w:rsidRDefault="0013106F">
      <w:pPr>
        <w:rPr>
          <w:rFonts w:ascii="Times New Roman" w:hAnsi="Times New Roman" w:cs="Times New Roman"/>
        </w:rPr>
      </w:pPr>
      <w:r>
        <w:rPr>
          <w:rFonts w:ascii="Times New Roman" w:hAnsi="Times New Roman" w:cs="Times New Roman"/>
        </w:rPr>
        <w:t xml:space="preserve">Vi välkomnar också att kommittén föreslår att bestämmelserna får rubriker och att vissa idag tunga och lite kvistiga paragrafer delas upp på flera samt införandet av punktuppställningar i vissa bestämmelser. Det kan övervägas om inte ytterligare en rubriknivå </w:t>
      </w:r>
      <w:r w:rsidR="00C07719">
        <w:rPr>
          <w:rFonts w:ascii="Times New Roman" w:hAnsi="Times New Roman" w:cs="Times New Roman"/>
        </w:rPr>
        <w:t xml:space="preserve">skulle kunna bidra till ytterligare tydlighet vad gäller </w:t>
      </w:r>
      <w:r>
        <w:rPr>
          <w:rFonts w:ascii="Times New Roman" w:hAnsi="Times New Roman" w:cs="Times New Roman"/>
        </w:rPr>
        <w:t xml:space="preserve">den så kallade brottskatalogen </w:t>
      </w:r>
      <w:r w:rsidR="00C07719">
        <w:rPr>
          <w:rFonts w:ascii="Times New Roman" w:hAnsi="Times New Roman" w:cs="Times New Roman"/>
        </w:rPr>
        <w:t xml:space="preserve">genom att med rubriker gruppera brotten i de tre kategorier som gäller idag, </w:t>
      </w:r>
      <w:r>
        <w:rPr>
          <w:rFonts w:ascii="Times New Roman" w:hAnsi="Times New Roman" w:cs="Times New Roman"/>
        </w:rPr>
        <w:t>brott rikta</w:t>
      </w:r>
      <w:r w:rsidR="00CE3B40">
        <w:rPr>
          <w:rFonts w:ascii="Times New Roman" w:hAnsi="Times New Roman" w:cs="Times New Roman"/>
        </w:rPr>
        <w:t>de</w:t>
      </w:r>
      <w:r>
        <w:rPr>
          <w:rFonts w:ascii="Times New Roman" w:hAnsi="Times New Roman" w:cs="Times New Roman"/>
        </w:rPr>
        <w:t xml:space="preserve"> mot enskilda, det allmänna respektive mot samhället.</w:t>
      </w:r>
    </w:p>
    <w:p w14:paraId="1C4EB9EC" w14:textId="77777777" w:rsidR="0013106F" w:rsidRDefault="0013106F">
      <w:pPr>
        <w:rPr>
          <w:rFonts w:ascii="Times New Roman" w:hAnsi="Times New Roman" w:cs="Times New Roman"/>
        </w:rPr>
      </w:pPr>
    </w:p>
    <w:p w14:paraId="67777CA4" w14:textId="77777777" w:rsidR="00A255AC" w:rsidRDefault="0013106F">
      <w:pPr>
        <w:rPr>
          <w:rFonts w:ascii="Times New Roman" w:hAnsi="Times New Roman" w:cs="Times New Roman"/>
        </w:rPr>
      </w:pPr>
      <w:r>
        <w:rPr>
          <w:rFonts w:ascii="Times New Roman" w:hAnsi="Times New Roman" w:cs="Times New Roman"/>
        </w:rPr>
        <w:t xml:space="preserve">Det är också positivt att kommittén ändrar vissa begrepp för att göra lagen tydligare och klä bestämmelserna i en modernare språkdräkt. </w:t>
      </w:r>
      <w:r w:rsidR="00C07719">
        <w:rPr>
          <w:rFonts w:ascii="Times New Roman" w:hAnsi="Times New Roman" w:cs="Times New Roman"/>
        </w:rPr>
        <w:t>Precis som när det gäller att bryta ut bestämmelser ur TF/</w:t>
      </w:r>
      <w:proofErr w:type="spellStart"/>
      <w:r w:rsidR="00C07719">
        <w:rPr>
          <w:rFonts w:ascii="Times New Roman" w:hAnsi="Times New Roman" w:cs="Times New Roman"/>
        </w:rPr>
        <w:t>YGL</w:t>
      </w:r>
      <w:proofErr w:type="spellEnd"/>
      <w:r w:rsidR="00C07719">
        <w:rPr>
          <w:rFonts w:ascii="Times New Roman" w:hAnsi="Times New Roman" w:cs="Times New Roman"/>
        </w:rPr>
        <w:t xml:space="preserve"> måste en språklig bearbetning</w:t>
      </w:r>
      <w:r w:rsidR="00A255AC">
        <w:rPr>
          <w:rFonts w:ascii="Times New Roman" w:hAnsi="Times New Roman" w:cs="Times New Roman"/>
        </w:rPr>
        <w:t xml:space="preserve"> ske med stor vaksamhet och varje ändring vägas på guldvåg. Det är lätt att ambitionen att få en språkligt mer tillgänglig grundlag påverkar innehållet.</w:t>
      </w:r>
    </w:p>
    <w:p w14:paraId="7D84E370" w14:textId="77777777" w:rsidR="00A255AC" w:rsidRDefault="00A255AC">
      <w:pPr>
        <w:rPr>
          <w:rFonts w:ascii="Times New Roman" w:hAnsi="Times New Roman" w:cs="Times New Roman"/>
        </w:rPr>
      </w:pPr>
    </w:p>
    <w:p w14:paraId="118C391B" w14:textId="724D2103" w:rsidR="007852D1" w:rsidRDefault="00A255AC">
      <w:pPr>
        <w:rPr>
          <w:rFonts w:ascii="Times New Roman" w:hAnsi="Times New Roman" w:cs="Times New Roman"/>
        </w:rPr>
      </w:pPr>
      <w:r>
        <w:rPr>
          <w:rFonts w:ascii="Times New Roman" w:hAnsi="Times New Roman" w:cs="Times New Roman"/>
        </w:rPr>
        <w:t>Denna risk åskådliggörs i kommitténs förslag vad gäller ändring av bestämmelserna för konfiskering av skrift som fällts i ett tryckfrihetsmål. Idag stadgas att endast plåtar och annan utrustning som använts för framställning av den konfiskerade skriften får förstöras. Kommittén vill utmönstra ”av den konfiskerade skriften”</w:t>
      </w:r>
      <w:r w:rsidR="00785C75">
        <w:rPr>
          <w:rFonts w:ascii="Times New Roman" w:hAnsi="Times New Roman" w:cs="Times New Roman"/>
        </w:rPr>
        <w:t xml:space="preserve"> (s. 677)</w:t>
      </w:r>
      <w:r w:rsidR="00C07719">
        <w:rPr>
          <w:rFonts w:ascii="Times New Roman" w:hAnsi="Times New Roman" w:cs="Times New Roman"/>
        </w:rPr>
        <w:t>.</w:t>
      </w:r>
      <w:r>
        <w:rPr>
          <w:rFonts w:ascii="Times New Roman" w:hAnsi="Times New Roman" w:cs="Times New Roman"/>
        </w:rPr>
        <w:t xml:space="preserve"> Det innebär att en konfiskation skulle kunna omfatta även sådant material som inte använts för framställning av den specifika skriften. </w:t>
      </w:r>
      <w:r w:rsidR="007852D1">
        <w:rPr>
          <w:rFonts w:ascii="Times New Roman" w:hAnsi="Times New Roman" w:cs="Times New Roman"/>
        </w:rPr>
        <w:t xml:space="preserve">Det är viktigt att </w:t>
      </w:r>
      <w:r w:rsidR="00214E22">
        <w:rPr>
          <w:rFonts w:ascii="Times New Roman" w:hAnsi="Times New Roman" w:cs="Times New Roman"/>
        </w:rPr>
        <w:t xml:space="preserve">avgränsningen </w:t>
      </w:r>
      <w:r w:rsidR="00846634">
        <w:rPr>
          <w:rFonts w:ascii="Times New Roman" w:hAnsi="Times New Roman" w:cs="Times New Roman"/>
        </w:rPr>
        <w:t>kvarstår</w:t>
      </w:r>
      <w:r w:rsidR="007852D1">
        <w:rPr>
          <w:rFonts w:ascii="Times New Roman" w:hAnsi="Times New Roman" w:cs="Times New Roman"/>
        </w:rPr>
        <w:t>.</w:t>
      </w:r>
    </w:p>
    <w:p w14:paraId="7E015709" w14:textId="77777777" w:rsidR="00E9179C" w:rsidRDefault="00E9179C">
      <w:pPr>
        <w:rPr>
          <w:rFonts w:ascii="Times New Roman" w:hAnsi="Times New Roman" w:cs="Times New Roman"/>
        </w:rPr>
      </w:pPr>
    </w:p>
    <w:p w14:paraId="1474EACF" w14:textId="3BB9E6C5" w:rsidR="00E9179C" w:rsidRDefault="00463558">
      <w:pPr>
        <w:rPr>
          <w:rFonts w:ascii="Times New Roman" w:hAnsi="Times New Roman" w:cs="Times New Roman"/>
        </w:rPr>
      </w:pPr>
      <w:r>
        <w:rPr>
          <w:rFonts w:ascii="Times New Roman" w:hAnsi="Times New Roman" w:cs="Times New Roman"/>
        </w:rPr>
        <w:t>Det har inte varit möjligt för oss att i alla delar jämföra befintliga skrivningar mot föreslagna. Det slår oss dock vid en översiktlig läsning att omskrivningen av tredje stycket i 1 kap. 1 § TF (s. 500) inte känns bekväm. Den tidigare skrivningen om ”i förväg lagda hinder” har ersatts med en enligt vår uppfattning mindre uttrycksfull och en omständligare skrivning ”lägger ut hinder i förväg”. Denna centrala mening i portalstadg</w:t>
      </w:r>
      <w:r w:rsidR="00214E22">
        <w:rPr>
          <w:rFonts w:ascii="Times New Roman" w:hAnsi="Times New Roman" w:cs="Times New Roman"/>
        </w:rPr>
        <w:t>andet bör finjusteras så att den</w:t>
      </w:r>
      <w:r>
        <w:rPr>
          <w:rFonts w:ascii="Times New Roman" w:hAnsi="Times New Roman" w:cs="Times New Roman"/>
        </w:rPr>
        <w:t xml:space="preserve"> befintliga uttrycken behålls.  </w:t>
      </w:r>
    </w:p>
    <w:p w14:paraId="4D24AE7C" w14:textId="77777777" w:rsidR="00200C96" w:rsidRDefault="00200C96">
      <w:pPr>
        <w:rPr>
          <w:rFonts w:ascii="Times New Roman" w:hAnsi="Times New Roman" w:cs="Times New Roman"/>
        </w:rPr>
      </w:pPr>
    </w:p>
    <w:p w14:paraId="2713715E" w14:textId="4AB90C7F" w:rsidR="008C0BC1" w:rsidRDefault="008C0BC1">
      <w:pPr>
        <w:rPr>
          <w:rFonts w:ascii="Times New Roman" w:hAnsi="Times New Roman" w:cs="Times New Roman"/>
        </w:rPr>
      </w:pPr>
      <w:r>
        <w:rPr>
          <w:rFonts w:ascii="Times New Roman" w:hAnsi="Times New Roman" w:cs="Times New Roman"/>
        </w:rPr>
        <w:t>Var och en</w:t>
      </w:r>
    </w:p>
    <w:p w14:paraId="7115DB99" w14:textId="4DD978C9" w:rsidR="00E0698C" w:rsidRDefault="008C0BC1">
      <w:pPr>
        <w:rPr>
          <w:rFonts w:ascii="Times New Roman" w:hAnsi="Times New Roman" w:cs="Times New Roman"/>
        </w:rPr>
      </w:pPr>
      <w:r>
        <w:rPr>
          <w:rFonts w:ascii="Times New Roman" w:hAnsi="Times New Roman" w:cs="Times New Roman"/>
        </w:rPr>
        <w:t>Kommittén förordar att där det i TF/</w:t>
      </w:r>
      <w:proofErr w:type="spellStart"/>
      <w:r>
        <w:rPr>
          <w:rFonts w:ascii="Times New Roman" w:hAnsi="Times New Roman" w:cs="Times New Roman"/>
        </w:rPr>
        <w:t>YGL</w:t>
      </w:r>
      <w:proofErr w:type="spellEnd"/>
      <w:r>
        <w:rPr>
          <w:rFonts w:ascii="Times New Roman" w:hAnsi="Times New Roman" w:cs="Times New Roman"/>
        </w:rPr>
        <w:t xml:space="preserve"> anges att rättighet</w:t>
      </w:r>
      <w:r w:rsidR="00E34088">
        <w:rPr>
          <w:rFonts w:ascii="Times New Roman" w:hAnsi="Times New Roman" w:cs="Times New Roman"/>
        </w:rPr>
        <w:t>erna</w:t>
      </w:r>
      <w:r>
        <w:rPr>
          <w:rFonts w:ascii="Times New Roman" w:hAnsi="Times New Roman" w:cs="Times New Roman"/>
        </w:rPr>
        <w:t xml:space="preserve"> tillkommer </w:t>
      </w:r>
      <w:r w:rsidRPr="00E34088">
        <w:rPr>
          <w:rFonts w:ascii="Times New Roman" w:hAnsi="Times New Roman" w:cs="Times New Roman"/>
          <w:i/>
        </w:rPr>
        <w:t>svenska medborgare</w:t>
      </w:r>
      <w:r>
        <w:rPr>
          <w:rFonts w:ascii="Times New Roman" w:hAnsi="Times New Roman" w:cs="Times New Roman"/>
        </w:rPr>
        <w:t xml:space="preserve"> ersätts med </w:t>
      </w:r>
      <w:r w:rsidRPr="00E34088">
        <w:rPr>
          <w:rFonts w:ascii="Times New Roman" w:hAnsi="Times New Roman" w:cs="Times New Roman"/>
          <w:i/>
        </w:rPr>
        <w:t>var och en</w:t>
      </w:r>
      <w:r w:rsidR="00846634">
        <w:rPr>
          <w:rFonts w:ascii="Times New Roman" w:hAnsi="Times New Roman" w:cs="Times New Roman"/>
        </w:rPr>
        <w:t xml:space="preserve"> (s. </w:t>
      </w:r>
      <w:r w:rsidR="001F0BA5">
        <w:rPr>
          <w:rFonts w:ascii="Times New Roman" w:hAnsi="Times New Roman" w:cs="Times New Roman"/>
        </w:rPr>
        <w:t>242)</w:t>
      </w:r>
      <w:r>
        <w:rPr>
          <w:rFonts w:ascii="Times New Roman" w:hAnsi="Times New Roman" w:cs="Times New Roman"/>
        </w:rPr>
        <w:t xml:space="preserve">. </w:t>
      </w:r>
      <w:r w:rsidR="001F0BA5">
        <w:rPr>
          <w:rFonts w:ascii="Times New Roman" w:hAnsi="Times New Roman" w:cs="Times New Roman"/>
        </w:rPr>
        <w:t>Vi välkomnar f</w:t>
      </w:r>
      <w:r w:rsidR="00E34088">
        <w:rPr>
          <w:rFonts w:ascii="Times New Roman" w:hAnsi="Times New Roman" w:cs="Times New Roman"/>
        </w:rPr>
        <w:t xml:space="preserve">örändringen </w:t>
      </w:r>
      <w:r w:rsidR="001F0BA5">
        <w:rPr>
          <w:rFonts w:ascii="Times New Roman" w:hAnsi="Times New Roman" w:cs="Times New Roman"/>
        </w:rPr>
        <w:t xml:space="preserve">som innebär att utgångspunkten </w:t>
      </w:r>
      <w:r w:rsidR="00E34088">
        <w:rPr>
          <w:rFonts w:ascii="Times New Roman" w:hAnsi="Times New Roman" w:cs="Times New Roman"/>
        </w:rPr>
        <w:t xml:space="preserve">är </w:t>
      </w:r>
      <w:r w:rsidR="001F0BA5">
        <w:rPr>
          <w:rFonts w:ascii="Times New Roman" w:hAnsi="Times New Roman" w:cs="Times New Roman"/>
        </w:rPr>
        <w:t xml:space="preserve">att rättigheterna tillkommer </w:t>
      </w:r>
      <w:r w:rsidR="00E0698C">
        <w:rPr>
          <w:rFonts w:ascii="Times New Roman" w:hAnsi="Times New Roman" w:cs="Times New Roman"/>
        </w:rPr>
        <w:t>var och en men att begränsningar kan göras för utländska medborgare i lag.</w:t>
      </w:r>
    </w:p>
    <w:p w14:paraId="41289B45" w14:textId="77777777" w:rsidR="00E0698C" w:rsidRDefault="00E0698C">
      <w:pPr>
        <w:rPr>
          <w:rFonts w:ascii="Times New Roman" w:hAnsi="Times New Roman" w:cs="Times New Roman"/>
        </w:rPr>
      </w:pPr>
    </w:p>
    <w:p w14:paraId="2AFBA53E" w14:textId="24220EB0" w:rsidR="00E0698C" w:rsidRDefault="00E0698C">
      <w:pPr>
        <w:rPr>
          <w:rFonts w:ascii="Times New Roman" w:hAnsi="Times New Roman" w:cs="Times New Roman"/>
        </w:rPr>
      </w:pPr>
      <w:r>
        <w:rPr>
          <w:rFonts w:ascii="Times New Roman" w:hAnsi="Times New Roman" w:cs="Times New Roman"/>
        </w:rPr>
        <w:t>Denna möjlighet att i lag undanta utländska medborgare från alla eller vissa rättigheter kan ifrågasättas. Undantagsmöjligheten ska ses som en möjlig beredskapsåtgärd när landet är utsatt för hot utifrån med understöd av utländska medborgare i landet. Den praktiska nyttan och effektiviteten av införandet av ett sådant undantag kan diskuteras och genom andra bestämmelser kan sådan undergrävande verksamhet oavsett om den utförs av svenska eller utländska medborgare beivras.</w:t>
      </w:r>
    </w:p>
    <w:p w14:paraId="3A1DCBD9" w14:textId="77777777" w:rsidR="00E0698C" w:rsidRDefault="00E0698C">
      <w:pPr>
        <w:rPr>
          <w:rFonts w:ascii="Times New Roman" w:hAnsi="Times New Roman" w:cs="Times New Roman"/>
        </w:rPr>
      </w:pPr>
    </w:p>
    <w:p w14:paraId="0BB39D67" w14:textId="67CE80F5" w:rsidR="00D02669" w:rsidRDefault="00E0698C" w:rsidP="00463558">
      <w:pPr>
        <w:rPr>
          <w:rFonts w:ascii="Times New Roman" w:hAnsi="Times New Roman" w:cs="Times New Roman"/>
        </w:rPr>
      </w:pPr>
      <w:r>
        <w:rPr>
          <w:rFonts w:ascii="Times New Roman" w:hAnsi="Times New Roman" w:cs="Times New Roman"/>
        </w:rPr>
        <w:t xml:space="preserve">Inom ramen för detta lagstiftningsarbete bör det starkt övervägas om inte ett undantag från denna begränsningsmöjlighet </w:t>
      </w:r>
      <w:r w:rsidR="00463558">
        <w:rPr>
          <w:rFonts w:ascii="Times New Roman" w:hAnsi="Times New Roman" w:cs="Times New Roman"/>
        </w:rPr>
        <w:t xml:space="preserve">trots allt </w:t>
      </w:r>
      <w:r>
        <w:rPr>
          <w:rFonts w:ascii="Times New Roman" w:hAnsi="Times New Roman" w:cs="Times New Roman"/>
        </w:rPr>
        <w:t xml:space="preserve">bör göras. Det gäller tillgången till allmänna handlingar. </w:t>
      </w:r>
      <w:r w:rsidR="00463558">
        <w:rPr>
          <w:rFonts w:ascii="Times New Roman" w:hAnsi="Times New Roman" w:cs="Times New Roman"/>
        </w:rPr>
        <w:t xml:space="preserve">En begränsning av utländska medborgares tillgång till allmänna handlingar skulle komma i konflikt med </w:t>
      </w:r>
      <w:r w:rsidR="004978B8">
        <w:rPr>
          <w:rFonts w:ascii="Times New Roman" w:hAnsi="Times New Roman" w:cs="Times New Roman"/>
        </w:rPr>
        <w:t xml:space="preserve">TF 2 kap. 18 § rätt för den som begär ut en allmän handling att vara anonym. En begränsning av utländska medborgares skulle därmed i praktiken innebär att </w:t>
      </w:r>
      <w:r w:rsidR="00A520FC">
        <w:rPr>
          <w:rFonts w:ascii="Times New Roman" w:hAnsi="Times New Roman" w:cs="Times New Roman"/>
        </w:rPr>
        <w:t xml:space="preserve">myndigheterna måste ställa frågor och kräva att den som begär ut en handling </w:t>
      </w:r>
      <w:r w:rsidR="00D02669">
        <w:rPr>
          <w:rFonts w:ascii="Times New Roman" w:hAnsi="Times New Roman" w:cs="Times New Roman"/>
        </w:rPr>
        <w:t xml:space="preserve">styrker att han eller hon </w:t>
      </w:r>
      <w:r w:rsidR="00A520FC">
        <w:rPr>
          <w:rFonts w:ascii="Times New Roman" w:hAnsi="Times New Roman" w:cs="Times New Roman"/>
        </w:rPr>
        <w:t xml:space="preserve">är </w:t>
      </w:r>
      <w:r w:rsidR="004978B8">
        <w:rPr>
          <w:rFonts w:ascii="Times New Roman" w:hAnsi="Times New Roman" w:cs="Times New Roman"/>
        </w:rPr>
        <w:t>svensk medborgare</w:t>
      </w:r>
      <w:r w:rsidR="00A520FC">
        <w:rPr>
          <w:rFonts w:ascii="Times New Roman" w:hAnsi="Times New Roman" w:cs="Times New Roman"/>
        </w:rPr>
        <w:t xml:space="preserve"> och därmed hävs anonymitetsrätt</w:t>
      </w:r>
      <w:r w:rsidR="00D02669">
        <w:rPr>
          <w:rFonts w:ascii="Times New Roman" w:hAnsi="Times New Roman" w:cs="Times New Roman"/>
        </w:rPr>
        <w:t>en.</w:t>
      </w:r>
    </w:p>
    <w:p w14:paraId="0F8B000E" w14:textId="77777777" w:rsidR="00D02669" w:rsidRDefault="00D02669">
      <w:pPr>
        <w:rPr>
          <w:rFonts w:ascii="Times New Roman" w:hAnsi="Times New Roman" w:cs="Times New Roman"/>
        </w:rPr>
      </w:pPr>
    </w:p>
    <w:p w14:paraId="12EB70C9" w14:textId="542B8020" w:rsidR="00901708" w:rsidRDefault="00A520FC">
      <w:pPr>
        <w:rPr>
          <w:rFonts w:ascii="Times New Roman" w:hAnsi="Times New Roman" w:cs="Times New Roman"/>
        </w:rPr>
      </w:pPr>
      <w:r>
        <w:rPr>
          <w:rFonts w:ascii="Times New Roman" w:hAnsi="Times New Roman" w:cs="Times New Roman"/>
        </w:rPr>
        <w:t>Enligt vår uppfattning kan och bör denna inskränkning av rättigheterna pareras genom att det i TF/</w:t>
      </w:r>
      <w:proofErr w:type="spellStart"/>
      <w:r>
        <w:rPr>
          <w:rFonts w:ascii="Times New Roman" w:hAnsi="Times New Roman" w:cs="Times New Roman"/>
        </w:rPr>
        <w:t>YGL</w:t>
      </w:r>
      <w:proofErr w:type="spellEnd"/>
      <w:r>
        <w:rPr>
          <w:rFonts w:ascii="Times New Roman" w:hAnsi="Times New Roman" w:cs="Times New Roman"/>
        </w:rPr>
        <w:t xml:space="preserve"> görs ett tillägg som undantar bestämmelserna i TF 2 kap. från begränsningsmöjligheten.</w:t>
      </w:r>
      <w:r w:rsidR="00901708">
        <w:rPr>
          <w:rFonts w:ascii="Times New Roman" w:hAnsi="Times New Roman" w:cs="Times New Roman"/>
        </w:rPr>
        <w:t xml:space="preserve"> Det enskilda- eller samhällsintresse som kan finnas för att utländska medborgare inte ska få del av vissa handlingar </w:t>
      </w:r>
      <w:r w:rsidR="00113A3A">
        <w:rPr>
          <w:rFonts w:ascii="Times New Roman" w:hAnsi="Times New Roman" w:cs="Times New Roman"/>
        </w:rPr>
        <w:t xml:space="preserve">får </w:t>
      </w:r>
      <w:r w:rsidR="00901708">
        <w:rPr>
          <w:rFonts w:ascii="Times New Roman" w:hAnsi="Times New Roman" w:cs="Times New Roman"/>
        </w:rPr>
        <w:t xml:space="preserve">anses </w:t>
      </w:r>
      <w:r w:rsidR="00D02669">
        <w:rPr>
          <w:rFonts w:ascii="Times New Roman" w:hAnsi="Times New Roman" w:cs="Times New Roman"/>
        </w:rPr>
        <w:t xml:space="preserve">böra </w:t>
      </w:r>
      <w:r w:rsidR="00901708">
        <w:rPr>
          <w:rFonts w:ascii="Times New Roman" w:hAnsi="Times New Roman" w:cs="Times New Roman"/>
        </w:rPr>
        <w:t>gälla även svenska medborgare.</w:t>
      </w:r>
      <w:r w:rsidR="00BE47C1">
        <w:rPr>
          <w:rFonts w:ascii="Times New Roman" w:hAnsi="Times New Roman" w:cs="Times New Roman"/>
        </w:rPr>
        <w:t xml:space="preserve"> Intresset </w:t>
      </w:r>
      <w:r w:rsidR="00901708">
        <w:rPr>
          <w:rFonts w:ascii="Times New Roman" w:hAnsi="Times New Roman" w:cs="Times New Roman"/>
        </w:rPr>
        <w:t xml:space="preserve">att skydda uppgifter </w:t>
      </w:r>
      <w:r w:rsidR="002D7ACC">
        <w:rPr>
          <w:rFonts w:ascii="Times New Roman" w:hAnsi="Times New Roman" w:cs="Times New Roman"/>
        </w:rPr>
        <w:t xml:space="preserve">som anses böra falla under sekretess </w:t>
      </w:r>
      <w:r w:rsidR="00B56FA9">
        <w:rPr>
          <w:rFonts w:ascii="Times New Roman" w:hAnsi="Times New Roman" w:cs="Times New Roman"/>
        </w:rPr>
        <w:t xml:space="preserve">kan </w:t>
      </w:r>
      <w:r w:rsidR="00901708">
        <w:rPr>
          <w:rFonts w:ascii="Times New Roman" w:hAnsi="Times New Roman" w:cs="Times New Roman"/>
        </w:rPr>
        <w:t xml:space="preserve">tillgodoses </w:t>
      </w:r>
      <w:r w:rsidR="008D1A58">
        <w:rPr>
          <w:rFonts w:ascii="Times New Roman" w:hAnsi="Times New Roman" w:cs="Times New Roman"/>
        </w:rPr>
        <w:t xml:space="preserve">genom </w:t>
      </w:r>
      <w:r w:rsidR="00901708">
        <w:rPr>
          <w:rFonts w:ascii="Times New Roman" w:hAnsi="Times New Roman" w:cs="Times New Roman"/>
        </w:rPr>
        <w:t xml:space="preserve">bestämmelser i </w:t>
      </w:r>
      <w:proofErr w:type="spellStart"/>
      <w:r w:rsidR="00901708">
        <w:rPr>
          <w:rFonts w:ascii="Times New Roman" w:hAnsi="Times New Roman" w:cs="Times New Roman"/>
        </w:rPr>
        <w:t>OSL</w:t>
      </w:r>
      <w:proofErr w:type="spellEnd"/>
      <w:r w:rsidR="00901708">
        <w:rPr>
          <w:rFonts w:ascii="Times New Roman" w:hAnsi="Times New Roman" w:cs="Times New Roman"/>
        </w:rPr>
        <w:t>.</w:t>
      </w:r>
    </w:p>
    <w:p w14:paraId="5FFF9527" w14:textId="77777777" w:rsidR="00A520FC" w:rsidRDefault="00A520FC">
      <w:pPr>
        <w:rPr>
          <w:rFonts w:ascii="Times New Roman" w:hAnsi="Times New Roman" w:cs="Times New Roman"/>
        </w:rPr>
      </w:pPr>
    </w:p>
    <w:p w14:paraId="7F812EA3" w14:textId="496441F9" w:rsidR="00897280" w:rsidRDefault="00E83858">
      <w:pPr>
        <w:rPr>
          <w:rFonts w:ascii="Times New Roman" w:hAnsi="Times New Roman" w:cs="Times New Roman"/>
          <w:b/>
        </w:rPr>
      </w:pPr>
      <w:r w:rsidRPr="00E83858">
        <w:rPr>
          <w:rFonts w:ascii="Times New Roman" w:hAnsi="Times New Roman" w:cs="Times New Roman"/>
          <w:b/>
        </w:rPr>
        <w:t>IV. En översyn av databasregeln</w:t>
      </w:r>
    </w:p>
    <w:p w14:paraId="2643D755" w14:textId="77777777" w:rsidR="00E83858" w:rsidRDefault="00E83858">
      <w:pPr>
        <w:rPr>
          <w:rFonts w:ascii="Times New Roman" w:hAnsi="Times New Roman" w:cs="Times New Roman"/>
        </w:rPr>
      </w:pPr>
    </w:p>
    <w:p w14:paraId="237F1F33" w14:textId="1F200AE1" w:rsidR="00A25CCC" w:rsidRDefault="00A25CCC">
      <w:pPr>
        <w:rPr>
          <w:rFonts w:ascii="Times New Roman" w:hAnsi="Times New Roman" w:cs="Times New Roman"/>
        </w:rPr>
      </w:pPr>
      <w:r>
        <w:rPr>
          <w:rFonts w:ascii="Times New Roman" w:hAnsi="Times New Roman" w:cs="Times New Roman"/>
        </w:rPr>
        <w:t>Vi delar kommittén slutsats att det automatiska skyddet för databaser inte bör utvidgas. Det finns som kommittén säger (s. 274) verksamheter som drivs professionellt vad gäller opinionsbildning och nyheter enbart via webbpubliceringar och som i sig får anses ha samma skyddsvärde som etablerade medier som driver sin verksamhet både i tryck och på webben. Problemet är att tydligt avgränsa denna krets. Möjligheten att med frivilligt utgivningsbevis få skydd av TF/</w:t>
      </w:r>
      <w:proofErr w:type="spellStart"/>
      <w:r>
        <w:rPr>
          <w:rFonts w:ascii="Times New Roman" w:hAnsi="Times New Roman" w:cs="Times New Roman"/>
        </w:rPr>
        <w:t>YGL</w:t>
      </w:r>
      <w:proofErr w:type="spellEnd"/>
      <w:r>
        <w:rPr>
          <w:rFonts w:ascii="Times New Roman" w:hAnsi="Times New Roman" w:cs="Times New Roman"/>
        </w:rPr>
        <w:t xml:space="preserve"> är tillräckligt f</w:t>
      </w:r>
      <w:r w:rsidR="00D02669">
        <w:rPr>
          <w:rFonts w:ascii="Times New Roman" w:hAnsi="Times New Roman" w:cs="Times New Roman"/>
        </w:rPr>
        <w:t xml:space="preserve">ör att tillgodose möjligheten att </w:t>
      </w:r>
      <w:r w:rsidR="00CC53FF">
        <w:rPr>
          <w:rFonts w:ascii="Times New Roman" w:hAnsi="Times New Roman" w:cs="Times New Roman"/>
        </w:rPr>
        <w:t xml:space="preserve">den som önskar kan </w:t>
      </w:r>
      <w:r w:rsidR="00D02669">
        <w:rPr>
          <w:rFonts w:ascii="Times New Roman" w:hAnsi="Times New Roman" w:cs="Times New Roman"/>
        </w:rPr>
        <w:t>få TF/</w:t>
      </w:r>
      <w:proofErr w:type="spellStart"/>
      <w:r w:rsidR="00D02669">
        <w:rPr>
          <w:rFonts w:ascii="Times New Roman" w:hAnsi="Times New Roman" w:cs="Times New Roman"/>
        </w:rPr>
        <w:t>YGL</w:t>
      </w:r>
      <w:proofErr w:type="spellEnd"/>
      <w:r w:rsidR="00D02669">
        <w:rPr>
          <w:rFonts w:ascii="Times New Roman" w:hAnsi="Times New Roman" w:cs="Times New Roman"/>
        </w:rPr>
        <w:t xml:space="preserve"> skydd</w:t>
      </w:r>
      <w:r>
        <w:rPr>
          <w:rFonts w:ascii="Times New Roman" w:hAnsi="Times New Roman" w:cs="Times New Roman"/>
        </w:rPr>
        <w:t>.</w:t>
      </w:r>
    </w:p>
    <w:p w14:paraId="54E4D0FA" w14:textId="77777777" w:rsidR="00A25CCC" w:rsidRDefault="00A25CCC">
      <w:pPr>
        <w:rPr>
          <w:rFonts w:ascii="Times New Roman" w:hAnsi="Times New Roman" w:cs="Times New Roman"/>
        </w:rPr>
      </w:pPr>
    </w:p>
    <w:p w14:paraId="397DD4DE" w14:textId="6D7D3BB8" w:rsidR="003B6C5F" w:rsidRDefault="00992B92">
      <w:pPr>
        <w:rPr>
          <w:rFonts w:ascii="Times New Roman" w:hAnsi="Times New Roman" w:cs="Times New Roman"/>
        </w:rPr>
      </w:pPr>
      <w:r>
        <w:rPr>
          <w:rFonts w:ascii="Times New Roman" w:hAnsi="Times New Roman" w:cs="Times New Roman"/>
        </w:rPr>
        <w:t xml:space="preserve">Läsarkommentarer en viktig del av samhällsdebatten och den fria åsiktsbildningen. Denna interaktivitet på nätet utgör en fortsättning och utveckling av tidningarnas traditionella insändarsidor. Det är därför viktigt att lagstiftningen samtidigt som ensamansvaret upprätthålls inte hindrar eller försvårar läsarnas möjligheter att kommentera händelser och värderingar. En sådan försvårande omständighet är att det råder viss osäkerhet om </w:t>
      </w:r>
      <w:proofErr w:type="spellStart"/>
      <w:r>
        <w:rPr>
          <w:rFonts w:ascii="Times New Roman" w:hAnsi="Times New Roman" w:cs="Times New Roman"/>
        </w:rPr>
        <w:t>YGL:s</w:t>
      </w:r>
      <w:proofErr w:type="spellEnd"/>
      <w:r>
        <w:rPr>
          <w:rFonts w:ascii="Times New Roman" w:hAnsi="Times New Roman" w:cs="Times New Roman"/>
        </w:rPr>
        <w:t xml:space="preserve"> skydd bortfaller för hela verksamheten om läsarkommentarer som inte godkänts av utgivaren publiceras i anslutning till t.ex. en nyhetsartikel. Det klargörande som kommittén föreslår </w:t>
      </w:r>
      <w:r w:rsidR="00EB6811">
        <w:rPr>
          <w:rFonts w:ascii="Times New Roman" w:hAnsi="Times New Roman" w:cs="Times New Roman"/>
        </w:rPr>
        <w:t>(s. 323)</w:t>
      </w:r>
      <w:r w:rsidR="00CC53FF">
        <w:rPr>
          <w:rFonts w:ascii="Times New Roman" w:hAnsi="Times New Roman" w:cs="Times New Roman"/>
        </w:rPr>
        <w:t xml:space="preserve"> bö</w:t>
      </w:r>
      <w:r w:rsidR="00EB6811">
        <w:rPr>
          <w:rFonts w:ascii="Times New Roman" w:hAnsi="Times New Roman" w:cs="Times New Roman"/>
        </w:rPr>
        <w:t>r genomföras</w:t>
      </w:r>
      <w:r w:rsidR="003B6C5F">
        <w:rPr>
          <w:rFonts w:ascii="Times New Roman" w:hAnsi="Times New Roman" w:cs="Times New Roman"/>
        </w:rPr>
        <w:t>.</w:t>
      </w:r>
    </w:p>
    <w:p w14:paraId="07E06FE1" w14:textId="77777777" w:rsidR="003B6C5F" w:rsidRDefault="003B6C5F">
      <w:pPr>
        <w:rPr>
          <w:rFonts w:ascii="Times New Roman" w:hAnsi="Times New Roman" w:cs="Times New Roman"/>
        </w:rPr>
      </w:pPr>
    </w:p>
    <w:p w14:paraId="0D9A41D3" w14:textId="77777777" w:rsidR="00CB4170" w:rsidRPr="00CB4170" w:rsidRDefault="00CB4170">
      <w:pPr>
        <w:rPr>
          <w:rFonts w:ascii="Times New Roman" w:hAnsi="Times New Roman" w:cs="Times New Roman"/>
          <w:b/>
        </w:rPr>
      </w:pPr>
      <w:r w:rsidRPr="00CB4170">
        <w:rPr>
          <w:rFonts w:ascii="Times New Roman" w:hAnsi="Times New Roman" w:cs="Times New Roman"/>
          <w:b/>
        </w:rPr>
        <w:t>13</w:t>
      </w:r>
      <w:r w:rsidRPr="00CB4170">
        <w:rPr>
          <w:rFonts w:ascii="Times New Roman" w:hAnsi="Times New Roman" w:cs="Times New Roman"/>
          <w:b/>
        </w:rPr>
        <w:tab/>
        <w:t>Preskriptionsregler och ansvar för databaser</w:t>
      </w:r>
    </w:p>
    <w:p w14:paraId="1E9C8936" w14:textId="77777777" w:rsidR="00CB4170" w:rsidRDefault="00CB4170">
      <w:pPr>
        <w:rPr>
          <w:rFonts w:ascii="Times New Roman" w:hAnsi="Times New Roman" w:cs="Times New Roman"/>
        </w:rPr>
      </w:pPr>
    </w:p>
    <w:p w14:paraId="45A14D33" w14:textId="3E735FFE" w:rsidR="003B6C5F" w:rsidRDefault="003B6C5F">
      <w:pPr>
        <w:rPr>
          <w:rFonts w:ascii="Times New Roman" w:hAnsi="Times New Roman" w:cs="Times New Roman"/>
        </w:rPr>
      </w:pPr>
      <w:r>
        <w:rPr>
          <w:rFonts w:ascii="Times New Roman" w:hAnsi="Times New Roman" w:cs="Times New Roman"/>
        </w:rPr>
        <w:t xml:space="preserve">Yttranden som sprids i böcker, dagstidningar, radio- och tv samt tekniska upptagningar preskriberas efter sex eller tolv månader räknat från offentliggörandet. Grundtanken är att ett yttrande ska bedömas av sin samtid enligt de stämningar och regler som gällde vid offentliggörandet. Samhället ska inte kunna ingripa i efterhand när t.ex. samhällssituationen förändrats eller </w:t>
      </w:r>
      <w:r w:rsidR="00D02669">
        <w:rPr>
          <w:rFonts w:ascii="Times New Roman" w:hAnsi="Times New Roman" w:cs="Times New Roman"/>
        </w:rPr>
        <w:t>ändring i gällande rätt</w:t>
      </w:r>
      <w:r>
        <w:rPr>
          <w:rFonts w:ascii="Times New Roman" w:hAnsi="Times New Roman" w:cs="Times New Roman"/>
        </w:rPr>
        <w:t xml:space="preserve">. En annan tanke med de relativt korta preskriptionstiderna är att den som fattat beslutet om publiceringen ska hålla straffrättsligt ansvarig. </w:t>
      </w:r>
    </w:p>
    <w:p w14:paraId="32CA4B49" w14:textId="77777777" w:rsidR="003B6C5F" w:rsidRDefault="003B6C5F">
      <w:pPr>
        <w:rPr>
          <w:rFonts w:ascii="Times New Roman" w:hAnsi="Times New Roman" w:cs="Times New Roman"/>
        </w:rPr>
      </w:pPr>
    </w:p>
    <w:p w14:paraId="1A403B21" w14:textId="77777777" w:rsidR="00973919" w:rsidRDefault="003B6C5F">
      <w:pPr>
        <w:rPr>
          <w:rFonts w:ascii="Times New Roman" w:hAnsi="Times New Roman" w:cs="Times New Roman"/>
        </w:rPr>
      </w:pPr>
      <w:r>
        <w:rPr>
          <w:rFonts w:ascii="Times New Roman" w:hAnsi="Times New Roman" w:cs="Times New Roman"/>
        </w:rPr>
        <w:t xml:space="preserve">Men när det gäller webbpubliceringar </w:t>
      </w:r>
      <w:r w:rsidR="00973919">
        <w:rPr>
          <w:rFonts w:ascii="Times New Roman" w:hAnsi="Times New Roman" w:cs="Times New Roman"/>
        </w:rPr>
        <w:t xml:space="preserve">(databaser) inträder </w:t>
      </w:r>
      <w:r>
        <w:rPr>
          <w:rFonts w:ascii="Times New Roman" w:hAnsi="Times New Roman" w:cs="Times New Roman"/>
        </w:rPr>
        <w:t xml:space="preserve">preskription först sex månader efter att ett yttrande tagits bort. Det </w:t>
      </w:r>
      <w:r w:rsidR="00973919">
        <w:rPr>
          <w:rFonts w:ascii="Times New Roman" w:hAnsi="Times New Roman" w:cs="Times New Roman"/>
        </w:rPr>
        <w:t>innebär att publiceringar som en utgivare fattat beslut om för kanske 10 – 15 år sedan blir dagens utgivare ansvarig för, fenomenet har döpts till ”</w:t>
      </w:r>
      <w:proofErr w:type="spellStart"/>
      <w:r w:rsidR="00973919">
        <w:rPr>
          <w:rFonts w:ascii="Times New Roman" w:hAnsi="Times New Roman" w:cs="Times New Roman"/>
        </w:rPr>
        <w:t>arvssynd</w:t>
      </w:r>
      <w:proofErr w:type="spellEnd"/>
      <w:r w:rsidR="00973919">
        <w:rPr>
          <w:rFonts w:ascii="Times New Roman" w:hAnsi="Times New Roman" w:cs="Times New Roman"/>
        </w:rPr>
        <w:t>” i tidningskretsar. Med tanke på att medieföretagen idag har webbpubliceringar som sin huvudkanal handlar det i många fall om 100 000-tals publiceringar per år.</w:t>
      </w:r>
    </w:p>
    <w:p w14:paraId="1C142A21" w14:textId="77777777" w:rsidR="00973919" w:rsidRDefault="00973919">
      <w:pPr>
        <w:rPr>
          <w:rFonts w:ascii="Times New Roman" w:hAnsi="Times New Roman" w:cs="Times New Roman"/>
        </w:rPr>
      </w:pPr>
    </w:p>
    <w:p w14:paraId="2EDBAE0C" w14:textId="77777777" w:rsidR="00973919" w:rsidRDefault="00973919">
      <w:pPr>
        <w:rPr>
          <w:rFonts w:ascii="Times New Roman" w:hAnsi="Times New Roman" w:cs="Times New Roman"/>
        </w:rPr>
      </w:pPr>
      <w:r>
        <w:rPr>
          <w:rFonts w:ascii="Times New Roman" w:hAnsi="Times New Roman" w:cs="Times New Roman"/>
        </w:rPr>
        <w:t>Kommittén skisserar på två alternativa lösningar på det som inte bara utgör ett problem för utgivarna utan framför allt för yttrandefriheten och tilliten till lagstiftningen. Det alternativ kommitténs majoritet fastnat för är att en utgivare endast ska kunna hållas straffrättsligt ansvarig för yttranden som publicerats de senaste tolv månaderna. För äldre yttranden ska straffansvaret falla om utgivaren plockar bort yttrandet efter att han eller hon uppmärksammats på det. Däremot ska det även i fortsättningen vara möjligt för enskilda om de anser sig utsatta för förtal att väcka enskilt åtal och kräva skadestånd av den som driver verksamheten.</w:t>
      </w:r>
    </w:p>
    <w:p w14:paraId="644D8C9E" w14:textId="77777777" w:rsidR="00973919" w:rsidRDefault="00973919">
      <w:pPr>
        <w:rPr>
          <w:rFonts w:ascii="Times New Roman" w:hAnsi="Times New Roman" w:cs="Times New Roman"/>
        </w:rPr>
      </w:pPr>
    </w:p>
    <w:p w14:paraId="32F0797A" w14:textId="20D940E1" w:rsidR="00B22B8B" w:rsidRDefault="00973919">
      <w:pPr>
        <w:rPr>
          <w:rFonts w:ascii="Times New Roman" w:hAnsi="Times New Roman" w:cs="Times New Roman"/>
        </w:rPr>
      </w:pPr>
      <w:r>
        <w:rPr>
          <w:rFonts w:ascii="Times New Roman" w:hAnsi="Times New Roman" w:cs="Times New Roman"/>
        </w:rPr>
        <w:t>Kommitténs förslag får s</w:t>
      </w:r>
      <w:r w:rsidR="009F5F28">
        <w:rPr>
          <w:rFonts w:ascii="Times New Roman" w:hAnsi="Times New Roman" w:cs="Times New Roman"/>
        </w:rPr>
        <w:t xml:space="preserve">es som ett steg framåt. Men det är inte tillräckligt. Som kommittén beskriver (s. 372 och bilaga 5) är erfarenheterna från andra länder goda när det gäller att låta preskriptionstiden </w:t>
      </w:r>
      <w:r w:rsidR="00D02669">
        <w:rPr>
          <w:rFonts w:ascii="Times New Roman" w:hAnsi="Times New Roman" w:cs="Times New Roman"/>
        </w:rPr>
        <w:t xml:space="preserve">börjar </w:t>
      </w:r>
      <w:r w:rsidR="009F5F28">
        <w:rPr>
          <w:rFonts w:ascii="Times New Roman" w:hAnsi="Times New Roman" w:cs="Times New Roman"/>
        </w:rPr>
        <w:t>löpa från offentliggörandet även för webbpubliceringar. Införandet av en preskriptionstid räknat från publiceringen skulle ge en enhetlighet vad gäller ansvaret för alla medier som faller in under yttrandefrihetsregleringen och tillgodose intresset att ett yttrande ska bedömas av sin samtid. Införandet av en så kallad ”</w:t>
      </w:r>
      <w:proofErr w:type="spellStart"/>
      <w:r w:rsidR="009F5F28">
        <w:rPr>
          <w:rFonts w:ascii="Times New Roman" w:hAnsi="Times New Roman" w:cs="Times New Roman"/>
        </w:rPr>
        <w:t>single</w:t>
      </w:r>
      <w:proofErr w:type="spellEnd"/>
      <w:r w:rsidR="009F5F28">
        <w:rPr>
          <w:rFonts w:ascii="Times New Roman" w:hAnsi="Times New Roman" w:cs="Times New Roman"/>
        </w:rPr>
        <w:t xml:space="preserve"> </w:t>
      </w:r>
      <w:proofErr w:type="spellStart"/>
      <w:r w:rsidR="009F5F28">
        <w:rPr>
          <w:rFonts w:ascii="Times New Roman" w:hAnsi="Times New Roman" w:cs="Times New Roman"/>
        </w:rPr>
        <w:t>publication</w:t>
      </w:r>
      <w:proofErr w:type="spellEnd"/>
      <w:r w:rsidR="009F5F28">
        <w:rPr>
          <w:rFonts w:ascii="Times New Roman" w:hAnsi="Times New Roman" w:cs="Times New Roman"/>
        </w:rPr>
        <w:t xml:space="preserve"> </w:t>
      </w:r>
      <w:proofErr w:type="spellStart"/>
      <w:r w:rsidR="00B22B8B">
        <w:rPr>
          <w:rFonts w:ascii="Times New Roman" w:hAnsi="Times New Roman" w:cs="Times New Roman"/>
        </w:rPr>
        <w:t>rule</w:t>
      </w:r>
      <w:proofErr w:type="spellEnd"/>
      <w:r w:rsidR="00B22B8B">
        <w:rPr>
          <w:rFonts w:ascii="Times New Roman" w:hAnsi="Times New Roman" w:cs="Times New Roman"/>
        </w:rPr>
        <w:t>” skulle visserligen begränsa staten och enskildas möjlighet att hålla en utgivare ansvarig för äldre publiceringar vid t.ex. hets mot folkgrupp respektive förtal. Vad gäller det allmännas möjligheter är det inte önskvärt att äldre publiceringar ska kunna bedömas i en</w:t>
      </w:r>
      <w:r w:rsidR="00946EEF">
        <w:rPr>
          <w:rFonts w:ascii="Times New Roman" w:hAnsi="Times New Roman" w:cs="Times New Roman"/>
        </w:rPr>
        <w:t xml:space="preserve"> annan tid </w:t>
      </w:r>
      <w:r w:rsidR="00B22B8B">
        <w:rPr>
          <w:rFonts w:ascii="Times New Roman" w:hAnsi="Times New Roman" w:cs="Times New Roman"/>
        </w:rPr>
        <w:t>och när det gäller e</w:t>
      </w:r>
      <w:r w:rsidR="009F5F28">
        <w:rPr>
          <w:rFonts w:ascii="Times New Roman" w:hAnsi="Times New Roman" w:cs="Times New Roman"/>
        </w:rPr>
        <w:t xml:space="preserve">nskildas rätt att få sin sak prövad vid förtal </w:t>
      </w:r>
      <w:r w:rsidR="00B22B8B">
        <w:rPr>
          <w:rFonts w:ascii="Times New Roman" w:hAnsi="Times New Roman" w:cs="Times New Roman"/>
        </w:rPr>
        <w:t>k</w:t>
      </w:r>
      <w:r w:rsidR="009F5F28">
        <w:rPr>
          <w:rFonts w:ascii="Times New Roman" w:hAnsi="Times New Roman" w:cs="Times New Roman"/>
        </w:rPr>
        <w:t xml:space="preserve">varstår </w:t>
      </w:r>
      <w:r w:rsidR="00B22B8B">
        <w:rPr>
          <w:rFonts w:ascii="Times New Roman" w:hAnsi="Times New Roman" w:cs="Times New Roman"/>
        </w:rPr>
        <w:t xml:space="preserve">möjligheten att få upprättelse </w:t>
      </w:r>
      <w:r w:rsidR="009F5F28">
        <w:rPr>
          <w:rFonts w:ascii="Times New Roman" w:hAnsi="Times New Roman" w:cs="Times New Roman"/>
        </w:rPr>
        <w:t xml:space="preserve">genom att skadestånd kan krävas i upp till tio år </w:t>
      </w:r>
      <w:r w:rsidR="00946EEF">
        <w:rPr>
          <w:rFonts w:ascii="Times New Roman" w:hAnsi="Times New Roman" w:cs="Times New Roman"/>
        </w:rPr>
        <w:t>efter</w:t>
      </w:r>
      <w:r w:rsidR="009F5F28">
        <w:rPr>
          <w:rFonts w:ascii="Times New Roman" w:hAnsi="Times New Roman" w:cs="Times New Roman"/>
        </w:rPr>
        <w:t xml:space="preserve"> publiceringen</w:t>
      </w:r>
      <w:r w:rsidR="00B22B8B">
        <w:rPr>
          <w:rFonts w:ascii="Times New Roman" w:hAnsi="Times New Roman" w:cs="Times New Roman"/>
        </w:rPr>
        <w:t>.</w:t>
      </w:r>
    </w:p>
    <w:p w14:paraId="370A1B50" w14:textId="77777777" w:rsidR="00CB4170" w:rsidRDefault="00CB4170">
      <w:pPr>
        <w:rPr>
          <w:rFonts w:ascii="Times New Roman" w:hAnsi="Times New Roman" w:cs="Times New Roman"/>
        </w:rPr>
      </w:pPr>
    </w:p>
    <w:p w14:paraId="19C6A215" w14:textId="77777777" w:rsidR="00CB4170" w:rsidRPr="00CB4170" w:rsidRDefault="00CB4170">
      <w:pPr>
        <w:rPr>
          <w:rFonts w:ascii="Times New Roman" w:hAnsi="Times New Roman" w:cs="Times New Roman"/>
          <w:b/>
        </w:rPr>
      </w:pPr>
      <w:r w:rsidRPr="00CB4170">
        <w:rPr>
          <w:rFonts w:ascii="Times New Roman" w:hAnsi="Times New Roman" w:cs="Times New Roman"/>
          <w:b/>
        </w:rPr>
        <w:t>14</w:t>
      </w:r>
      <w:r w:rsidRPr="00CB4170">
        <w:rPr>
          <w:rFonts w:ascii="Times New Roman" w:hAnsi="Times New Roman" w:cs="Times New Roman"/>
          <w:b/>
        </w:rPr>
        <w:tab/>
        <w:t>Personlig integritet och grundlagsskydd</w:t>
      </w:r>
    </w:p>
    <w:p w14:paraId="0901C7AE" w14:textId="7444C72F" w:rsidR="009F5F28" w:rsidRDefault="00B22B8B">
      <w:pPr>
        <w:rPr>
          <w:rFonts w:ascii="Times New Roman" w:hAnsi="Times New Roman" w:cs="Times New Roman"/>
        </w:rPr>
      </w:pPr>
      <w:r>
        <w:rPr>
          <w:rFonts w:ascii="Times New Roman" w:hAnsi="Times New Roman" w:cs="Times New Roman"/>
        </w:rPr>
        <w:t xml:space="preserve"> </w:t>
      </w:r>
    </w:p>
    <w:p w14:paraId="0CE03CA4" w14:textId="6BA3EDB6" w:rsidR="004F254A" w:rsidRDefault="00B22B8B">
      <w:pPr>
        <w:rPr>
          <w:rFonts w:ascii="Times New Roman" w:hAnsi="Times New Roman" w:cs="Times New Roman"/>
        </w:rPr>
      </w:pPr>
      <w:r>
        <w:rPr>
          <w:rFonts w:ascii="Times New Roman" w:hAnsi="Times New Roman" w:cs="Times New Roman"/>
        </w:rPr>
        <w:t xml:space="preserve">Frågan om skyddet för den personliga integriteten har med rätta </w:t>
      </w:r>
      <w:r w:rsidR="004F254A">
        <w:rPr>
          <w:rFonts w:ascii="Times New Roman" w:hAnsi="Times New Roman" w:cs="Times New Roman"/>
        </w:rPr>
        <w:t xml:space="preserve">rönt mer uppmärksamhet </w:t>
      </w:r>
      <w:r>
        <w:rPr>
          <w:rFonts w:ascii="Times New Roman" w:hAnsi="Times New Roman" w:cs="Times New Roman"/>
        </w:rPr>
        <w:t>under senare år. Förslag om åtgärder har kommit tätt</w:t>
      </w:r>
      <w:r w:rsidR="004F254A">
        <w:rPr>
          <w:rFonts w:ascii="Times New Roman" w:hAnsi="Times New Roman" w:cs="Times New Roman"/>
        </w:rPr>
        <w:t xml:space="preserve">, t.ex. SOU 2016:7 </w:t>
      </w:r>
      <w:r w:rsidR="004F254A" w:rsidRPr="004F254A">
        <w:rPr>
          <w:rFonts w:ascii="Times New Roman" w:hAnsi="Times New Roman" w:cs="Times New Roman"/>
          <w:i/>
        </w:rPr>
        <w:t>Integritet och straffskydd</w:t>
      </w:r>
      <w:r w:rsidR="004F254A">
        <w:rPr>
          <w:rFonts w:ascii="Times New Roman" w:hAnsi="Times New Roman" w:cs="Times New Roman"/>
        </w:rPr>
        <w:t>. Skärpningar och utökning av det straffbara området har inte bara inriktats på publiceringar utanför TF/</w:t>
      </w:r>
      <w:proofErr w:type="spellStart"/>
      <w:r w:rsidR="004F254A">
        <w:rPr>
          <w:rFonts w:ascii="Times New Roman" w:hAnsi="Times New Roman" w:cs="Times New Roman"/>
        </w:rPr>
        <w:t>YGL</w:t>
      </w:r>
      <w:proofErr w:type="spellEnd"/>
      <w:r w:rsidR="004F254A">
        <w:rPr>
          <w:rFonts w:ascii="Times New Roman" w:hAnsi="Times New Roman" w:cs="Times New Roman"/>
        </w:rPr>
        <w:t xml:space="preserve"> där merparten av alla integritetskränkningar sker utan föreslås även få genomslag i yttrandefrihetsgrundlagarna. De förändringar som föreslås i SOU 2016:7 bör enligt Publicistklubbens uppfattning inte få genomslag i TF/</w:t>
      </w:r>
      <w:proofErr w:type="spellStart"/>
      <w:r w:rsidR="004F254A">
        <w:rPr>
          <w:rFonts w:ascii="Times New Roman" w:hAnsi="Times New Roman" w:cs="Times New Roman"/>
        </w:rPr>
        <w:t>YGL</w:t>
      </w:r>
      <w:proofErr w:type="spellEnd"/>
      <w:r w:rsidR="004F254A">
        <w:rPr>
          <w:rFonts w:ascii="Times New Roman" w:hAnsi="Times New Roman" w:cs="Times New Roman"/>
        </w:rPr>
        <w:t>.</w:t>
      </w:r>
    </w:p>
    <w:p w14:paraId="20210582" w14:textId="77777777" w:rsidR="00D02669" w:rsidRDefault="00D02669">
      <w:pPr>
        <w:rPr>
          <w:rFonts w:ascii="Times New Roman" w:hAnsi="Times New Roman" w:cs="Times New Roman"/>
        </w:rPr>
      </w:pPr>
    </w:p>
    <w:p w14:paraId="1F2D5EF9" w14:textId="2DDD15F5" w:rsidR="00965956" w:rsidRDefault="00B22B8B">
      <w:pPr>
        <w:rPr>
          <w:rFonts w:ascii="Times New Roman" w:hAnsi="Times New Roman" w:cs="Times New Roman"/>
        </w:rPr>
      </w:pPr>
      <w:r>
        <w:rPr>
          <w:rFonts w:ascii="Times New Roman" w:hAnsi="Times New Roman" w:cs="Times New Roman"/>
        </w:rPr>
        <w:t xml:space="preserve">Ett av kommitténs uttryckliga uppdrag </w:t>
      </w:r>
      <w:r w:rsidR="00CB4170">
        <w:rPr>
          <w:rFonts w:ascii="Times New Roman" w:hAnsi="Times New Roman" w:cs="Times New Roman"/>
        </w:rPr>
        <w:t xml:space="preserve">enligt regeringens direktiv </w:t>
      </w:r>
      <w:r>
        <w:rPr>
          <w:rFonts w:ascii="Times New Roman" w:hAnsi="Times New Roman" w:cs="Times New Roman"/>
        </w:rPr>
        <w:t xml:space="preserve">var att lägga ett förslag för att begränsa tillgången till känsliga personuppgifter i databaser via internet. Det </w:t>
      </w:r>
      <w:r w:rsidR="00CB4170">
        <w:rPr>
          <w:rFonts w:ascii="Times New Roman" w:hAnsi="Times New Roman" w:cs="Times New Roman"/>
        </w:rPr>
        <w:t xml:space="preserve">som stått i fokus </w:t>
      </w:r>
      <w:r w:rsidR="00D02669">
        <w:rPr>
          <w:rFonts w:ascii="Times New Roman" w:hAnsi="Times New Roman" w:cs="Times New Roman"/>
        </w:rPr>
        <w:t xml:space="preserve">för debatten </w:t>
      </w:r>
      <w:r w:rsidR="00CB4170">
        <w:rPr>
          <w:rFonts w:ascii="Times New Roman" w:hAnsi="Times New Roman" w:cs="Times New Roman"/>
        </w:rPr>
        <w:t>är u</w:t>
      </w:r>
      <w:r>
        <w:rPr>
          <w:rFonts w:ascii="Times New Roman" w:hAnsi="Times New Roman" w:cs="Times New Roman"/>
        </w:rPr>
        <w:t>ppgifter</w:t>
      </w:r>
      <w:r w:rsidR="00965956">
        <w:rPr>
          <w:rFonts w:ascii="Times New Roman" w:hAnsi="Times New Roman" w:cs="Times New Roman"/>
        </w:rPr>
        <w:t xml:space="preserve"> om enskilda i brottmål</w:t>
      </w:r>
      <w:r w:rsidR="00CB4170">
        <w:rPr>
          <w:rFonts w:ascii="Times New Roman" w:hAnsi="Times New Roman" w:cs="Times New Roman"/>
        </w:rPr>
        <w:t xml:space="preserve"> och exemplet </w:t>
      </w:r>
      <w:proofErr w:type="spellStart"/>
      <w:r w:rsidR="00CB4170">
        <w:rPr>
          <w:rFonts w:ascii="Times New Roman" w:hAnsi="Times New Roman" w:cs="Times New Roman"/>
        </w:rPr>
        <w:t>Lexbase</w:t>
      </w:r>
      <w:proofErr w:type="spellEnd"/>
      <w:r w:rsidR="00CB4170">
        <w:rPr>
          <w:rFonts w:ascii="Times New Roman" w:hAnsi="Times New Roman" w:cs="Times New Roman"/>
        </w:rPr>
        <w:t>.</w:t>
      </w:r>
    </w:p>
    <w:p w14:paraId="386F30AB" w14:textId="77777777" w:rsidR="00CB4170" w:rsidRDefault="00CB4170">
      <w:pPr>
        <w:rPr>
          <w:rFonts w:ascii="Times New Roman" w:hAnsi="Times New Roman" w:cs="Times New Roman"/>
        </w:rPr>
      </w:pPr>
    </w:p>
    <w:p w14:paraId="28E33B49" w14:textId="2CD1446B" w:rsidR="00AE4311" w:rsidRDefault="001440FD">
      <w:pPr>
        <w:rPr>
          <w:rFonts w:ascii="Times New Roman" w:hAnsi="Times New Roman" w:cs="Times New Roman"/>
        </w:rPr>
      </w:pPr>
      <w:r>
        <w:rPr>
          <w:rFonts w:ascii="Times New Roman" w:hAnsi="Times New Roman" w:cs="Times New Roman"/>
        </w:rPr>
        <w:t>Kommittén föreslår att det ska införas en undantagsbestämmelse i TF/</w:t>
      </w:r>
      <w:proofErr w:type="spellStart"/>
      <w:r>
        <w:rPr>
          <w:rFonts w:ascii="Times New Roman" w:hAnsi="Times New Roman" w:cs="Times New Roman"/>
        </w:rPr>
        <w:t>YGL</w:t>
      </w:r>
      <w:proofErr w:type="spellEnd"/>
      <w:r>
        <w:rPr>
          <w:rFonts w:ascii="Times New Roman" w:hAnsi="Times New Roman" w:cs="Times New Roman"/>
        </w:rPr>
        <w:t xml:space="preserve">. Den skulle innebära att </w:t>
      </w:r>
      <w:r w:rsidR="00F06FD7">
        <w:rPr>
          <w:rFonts w:ascii="Times New Roman" w:hAnsi="Times New Roman" w:cs="Times New Roman"/>
        </w:rPr>
        <w:t>grundlagarna inte utgör något hinder för att det i vanlig lag införs begränsningar för tillgången till uppgiftsamlingar (läs databaser) där det är möjligt att söka efter uppgifter om enskilda eller på annat sätt göra sammanställningar om enskilda.</w:t>
      </w:r>
      <w:r w:rsidR="00AE4311">
        <w:rPr>
          <w:rFonts w:ascii="Times New Roman" w:hAnsi="Times New Roman" w:cs="Times New Roman"/>
        </w:rPr>
        <w:t xml:space="preserve"> Enligt kommittén bör alla samlingar av sådana uppgifter kunna omfattas av undantaget om det är möjligt att söka i samlingen och den görs allmänt tillgänglig. Med denna definition skulle även de traditionella mediernas webbplatser och arkivdatabaser där det även förekommer uppgifter om namngivna enskilda som </w:t>
      </w:r>
      <w:r w:rsidR="00C0020A">
        <w:rPr>
          <w:rFonts w:ascii="Times New Roman" w:hAnsi="Times New Roman" w:cs="Times New Roman"/>
        </w:rPr>
        <w:t xml:space="preserve">inte bara fällts utan även </w:t>
      </w:r>
      <w:r w:rsidR="00AE4311">
        <w:rPr>
          <w:rFonts w:ascii="Times New Roman" w:hAnsi="Times New Roman" w:cs="Times New Roman"/>
        </w:rPr>
        <w:t>varit misstänkta eller tilltalade i brottmål.</w:t>
      </w:r>
    </w:p>
    <w:p w14:paraId="5AC7C635" w14:textId="77777777" w:rsidR="00AE4311" w:rsidRDefault="00AE4311">
      <w:pPr>
        <w:rPr>
          <w:rFonts w:ascii="Times New Roman" w:hAnsi="Times New Roman" w:cs="Times New Roman"/>
        </w:rPr>
      </w:pPr>
    </w:p>
    <w:p w14:paraId="618BC518" w14:textId="77777777" w:rsidR="00AE4311" w:rsidRDefault="00AE4311">
      <w:pPr>
        <w:rPr>
          <w:rFonts w:ascii="Times New Roman" w:hAnsi="Times New Roman" w:cs="Times New Roman"/>
        </w:rPr>
      </w:pPr>
      <w:r>
        <w:rPr>
          <w:rFonts w:ascii="Times New Roman" w:hAnsi="Times New Roman" w:cs="Times New Roman"/>
        </w:rPr>
        <w:t>För att undvika en sådan långtgående användning av undantagsbestämmelsen förklarar kommittén att vid en bedömning av om undantaget ska tillämpas ska det göras en prövning i varje enskilt fall. Hänsyn ska tas till om det i det enskilda fallet finns ”särskilda risker” för att otillbörliga intrång kan ske och enligt kommitténs uppfattning ska mediegranskningar ”normalt” anses falla utanför.</w:t>
      </w:r>
    </w:p>
    <w:p w14:paraId="2535FF9A" w14:textId="77777777" w:rsidR="00AE4311" w:rsidRDefault="00AE4311">
      <w:pPr>
        <w:rPr>
          <w:rFonts w:ascii="Times New Roman" w:hAnsi="Times New Roman" w:cs="Times New Roman"/>
        </w:rPr>
      </w:pPr>
    </w:p>
    <w:p w14:paraId="10C109FB" w14:textId="733A907D" w:rsidR="00075B34" w:rsidRDefault="001F72B8">
      <w:pPr>
        <w:rPr>
          <w:rFonts w:ascii="Times New Roman" w:hAnsi="Times New Roman" w:cs="Times New Roman"/>
        </w:rPr>
      </w:pPr>
      <w:r>
        <w:rPr>
          <w:rFonts w:ascii="Times New Roman" w:hAnsi="Times New Roman" w:cs="Times New Roman"/>
        </w:rPr>
        <w:t>Faran med att införa ytterligare undantag i TF/</w:t>
      </w:r>
      <w:proofErr w:type="spellStart"/>
      <w:r>
        <w:rPr>
          <w:rFonts w:ascii="Times New Roman" w:hAnsi="Times New Roman" w:cs="Times New Roman"/>
        </w:rPr>
        <w:t>YGL</w:t>
      </w:r>
      <w:proofErr w:type="spellEnd"/>
      <w:r>
        <w:rPr>
          <w:rFonts w:ascii="Times New Roman" w:hAnsi="Times New Roman" w:cs="Times New Roman"/>
        </w:rPr>
        <w:t xml:space="preserve"> är att lagarna steg för steg urlakas sin styrka när tillämpningsområdet begränsas. Oavsett hur väl kommittén argumenterar för sina intensioner att undantaget inte ska tolkas för vitt öppnar undantagsbestämmelsen genom att vara väldigt vid och svävande i sin avgränsning för framtida lagstiftare att göra sin tolkning. Ska en undantagsbestämmelse införas måste den vara betydligt mer distinkt och </w:t>
      </w:r>
      <w:r w:rsidR="00D02669">
        <w:rPr>
          <w:rFonts w:ascii="Times New Roman" w:hAnsi="Times New Roman" w:cs="Times New Roman"/>
        </w:rPr>
        <w:t>precis</w:t>
      </w:r>
      <w:r>
        <w:rPr>
          <w:rFonts w:ascii="Times New Roman" w:hAnsi="Times New Roman" w:cs="Times New Roman"/>
        </w:rPr>
        <w:t xml:space="preserve"> än i kommitténs förslag.</w:t>
      </w:r>
    </w:p>
    <w:p w14:paraId="28C60086" w14:textId="77777777" w:rsidR="00C0020A" w:rsidRDefault="00C0020A">
      <w:pPr>
        <w:rPr>
          <w:rFonts w:ascii="Times New Roman" w:hAnsi="Times New Roman" w:cs="Times New Roman"/>
        </w:rPr>
      </w:pPr>
    </w:p>
    <w:p w14:paraId="4F0EEAEC" w14:textId="0A313EA8" w:rsidR="00C0020A" w:rsidRDefault="00C0020A">
      <w:pPr>
        <w:rPr>
          <w:rFonts w:ascii="Times New Roman" w:hAnsi="Times New Roman" w:cs="Times New Roman"/>
        </w:rPr>
      </w:pPr>
      <w:r>
        <w:rPr>
          <w:rFonts w:ascii="Times New Roman" w:hAnsi="Times New Roman" w:cs="Times New Roman"/>
        </w:rPr>
        <w:t xml:space="preserve">Det är också förvånande att kommittén föreslår en förändring samtidigt som den konstaterar att ”med hänsyn till den pågående lagstiftningsprocessen på dataskyddsområdet inte är möjligt att i detalj beskriva hur det undantag från TF och </w:t>
      </w:r>
      <w:proofErr w:type="spellStart"/>
      <w:r>
        <w:rPr>
          <w:rFonts w:ascii="Times New Roman" w:hAnsi="Times New Roman" w:cs="Times New Roman"/>
        </w:rPr>
        <w:t>YGL</w:t>
      </w:r>
      <w:proofErr w:type="spellEnd"/>
      <w:r>
        <w:rPr>
          <w:rFonts w:ascii="Times New Roman" w:hAnsi="Times New Roman" w:cs="Times New Roman"/>
        </w:rPr>
        <w:t xml:space="preserve"> som vi föreslår kommer att tillämpas” (s. 405). Även om ett undantag från yttrandefrihetsgrundlagarna per definition innebär att det som sägs i lag gäller och att denna kan komma att ändras är det ändå en klar brist att det inte ens när undantaget görs går att se dess följder fullt ut.</w:t>
      </w:r>
    </w:p>
    <w:p w14:paraId="1E3D6B88" w14:textId="77777777" w:rsidR="00C0020A" w:rsidRDefault="00C0020A">
      <w:pPr>
        <w:rPr>
          <w:rFonts w:ascii="Times New Roman" w:hAnsi="Times New Roman" w:cs="Times New Roman"/>
        </w:rPr>
      </w:pPr>
    </w:p>
    <w:p w14:paraId="3552FDBC" w14:textId="4BDCF5C4" w:rsidR="00C0020A" w:rsidRDefault="00C0020A">
      <w:pPr>
        <w:rPr>
          <w:rFonts w:ascii="Times New Roman" w:hAnsi="Times New Roman" w:cs="Times New Roman"/>
        </w:rPr>
      </w:pPr>
      <w:r>
        <w:rPr>
          <w:rFonts w:ascii="Times New Roman" w:hAnsi="Times New Roman" w:cs="Times New Roman"/>
        </w:rPr>
        <w:t>Publicistklubben avstyrker att undantaget införs i TF/</w:t>
      </w:r>
      <w:proofErr w:type="spellStart"/>
      <w:r>
        <w:rPr>
          <w:rFonts w:ascii="Times New Roman" w:hAnsi="Times New Roman" w:cs="Times New Roman"/>
        </w:rPr>
        <w:t>YGL</w:t>
      </w:r>
      <w:proofErr w:type="spellEnd"/>
      <w:r>
        <w:rPr>
          <w:rFonts w:ascii="Times New Roman" w:hAnsi="Times New Roman" w:cs="Times New Roman"/>
        </w:rPr>
        <w:t>.</w:t>
      </w:r>
    </w:p>
    <w:p w14:paraId="5A259C2A" w14:textId="77777777" w:rsidR="00075B34" w:rsidRPr="00075B34" w:rsidRDefault="00075B34">
      <w:pPr>
        <w:rPr>
          <w:rFonts w:ascii="Times New Roman" w:hAnsi="Times New Roman" w:cs="Times New Roman"/>
          <w:b/>
        </w:rPr>
      </w:pPr>
    </w:p>
    <w:p w14:paraId="0811169D" w14:textId="6FE4D823" w:rsidR="00965956" w:rsidRDefault="00075B34">
      <w:pPr>
        <w:rPr>
          <w:rFonts w:ascii="Times New Roman" w:hAnsi="Times New Roman" w:cs="Times New Roman"/>
          <w:b/>
        </w:rPr>
      </w:pPr>
      <w:r w:rsidRPr="00075B34">
        <w:rPr>
          <w:rFonts w:ascii="Times New Roman" w:hAnsi="Times New Roman" w:cs="Times New Roman"/>
          <w:b/>
        </w:rPr>
        <w:t>V. Internationellt rättsligt samarbete</w:t>
      </w:r>
    </w:p>
    <w:p w14:paraId="71DD8558" w14:textId="77777777" w:rsidR="00E559CF" w:rsidRDefault="00E559CF">
      <w:pPr>
        <w:rPr>
          <w:rFonts w:ascii="Times New Roman" w:hAnsi="Times New Roman" w:cs="Times New Roman"/>
          <w:b/>
        </w:rPr>
      </w:pPr>
    </w:p>
    <w:p w14:paraId="4096F670" w14:textId="6D26C7CA" w:rsidR="00447A1F" w:rsidRDefault="00C0020A">
      <w:pPr>
        <w:rPr>
          <w:rFonts w:ascii="Times New Roman" w:hAnsi="Times New Roman" w:cs="Times New Roman"/>
        </w:rPr>
      </w:pPr>
      <w:r>
        <w:rPr>
          <w:rFonts w:ascii="Times New Roman" w:hAnsi="Times New Roman" w:cs="Times New Roman"/>
        </w:rPr>
        <w:t>Utgångspunkten för kommitténs resonemang vad gäller möjligheterna att delta i det internationella rättsliga samarbetet inger betänkligheter. Kommittén konstaterar att ”den nuvarande svenska positionen i fråga om internationellt rättsligt bistånd kan inte anses vara</w:t>
      </w:r>
      <w:r w:rsidR="00447A1F">
        <w:rPr>
          <w:rFonts w:ascii="Times New Roman" w:hAnsi="Times New Roman" w:cs="Times New Roman"/>
        </w:rPr>
        <w:t xml:space="preserve"> i fas med utvecklingen inom EU</w:t>
      </w:r>
      <w:r w:rsidR="00325E5D">
        <w:rPr>
          <w:rFonts w:ascii="Times New Roman" w:hAnsi="Times New Roman" w:cs="Times New Roman"/>
        </w:rPr>
        <w:t>” (s. 430</w:t>
      </w:r>
      <w:r>
        <w:rPr>
          <w:rFonts w:ascii="Times New Roman" w:hAnsi="Times New Roman" w:cs="Times New Roman"/>
        </w:rPr>
        <w:t>)</w:t>
      </w:r>
      <w:r w:rsidR="00447A1F">
        <w:rPr>
          <w:rFonts w:ascii="Times New Roman" w:hAnsi="Times New Roman" w:cs="Times New Roman"/>
        </w:rPr>
        <w:t xml:space="preserve">. Kommittén beskriver detta som ett ”problem” </w:t>
      </w:r>
      <w:r w:rsidR="002D7ACC">
        <w:rPr>
          <w:rFonts w:ascii="Times New Roman" w:hAnsi="Times New Roman" w:cs="Times New Roman"/>
        </w:rPr>
        <w:t>och att det bör införas en uttrycklig möjlighet att lämna internationellt rättsligt bistån</w:t>
      </w:r>
      <w:r w:rsidR="00C92B97">
        <w:rPr>
          <w:rFonts w:ascii="Times New Roman" w:hAnsi="Times New Roman" w:cs="Times New Roman"/>
        </w:rPr>
        <w:t xml:space="preserve">d på TF och </w:t>
      </w:r>
      <w:proofErr w:type="spellStart"/>
      <w:r w:rsidR="00C92B97">
        <w:rPr>
          <w:rFonts w:ascii="Times New Roman" w:hAnsi="Times New Roman" w:cs="Times New Roman"/>
        </w:rPr>
        <w:t>YGL</w:t>
      </w:r>
      <w:proofErr w:type="spellEnd"/>
      <w:r w:rsidR="00C92B97">
        <w:rPr>
          <w:rFonts w:ascii="Times New Roman" w:hAnsi="Times New Roman" w:cs="Times New Roman"/>
        </w:rPr>
        <w:t xml:space="preserve"> området</w:t>
      </w:r>
      <w:r w:rsidR="002D7ACC">
        <w:rPr>
          <w:rFonts w:ascii="Times New Roman" w:hAnsi="Times New Roman" w:cs="Times New Roman"/>
        </w:rPr>
        <w:t>.</w:t>
      </w:r>
      <w:r w:rsidR="009C2D7E">
        <w:rPr>
          <w:rFonts w:ascii="Times New Roman" w:hAnsi="Times New Roman" w:cs="Times New Roman"/>
        </w:rPr>
        <w:t xml:space="preserve"> Men ”problemet” skulle också kunna sägas vara att EU:s position inte är i fas med utvecklingen i Sverige.</w:t>
      </w:r>
    </w:p>
    <w:p w14:paraId="331061AD" w14:textId="77777777" w:rsidR="002D7ACC" w:rsidRDefault="002D7ACC">
      <w:pPr>
        <w:rPr>
          <w:rFonts w:ascii="Times New Roman" w:hAnsi="Times New Roman" w:cs="Times New Roman"/>
        </w:rPr>
      </w:pPr>
    </w:p>
    <w:p w14:paraId="5CF92AC9" w14:textId="58D47C91" w:rsidR="00B15E7C" w:rsidRDefault="002D7ACC">
      <w:pPr>
        <w:rPr>
          <w:rFonts w:ascii="Times New Roman" w:hAnsi="Times New Roman" w:cs="Times New Roman"/>
        </w:rPr>
      </w:pPr>
      <w:r>
        <w:rPr>
          <w:rFonts w:ascii="Times New Roman" w:hAnsi="Times New Roman" w:cs="Times New Roman"/>
        </w:rPr>
        <w:t xml:space="preserve">Publicistklubben </w:t>
      </w:r>
      <w:r w:rsidR="009C2D7E">
        <w:rPr>
          <w:rFonts w:ascii="Times New Roman" w:hAnsi="Times New Roman" w:cs="Times New Roman"/>
        </w:rPr>
        <w:t>har svårt att förstå kommitténs slutsatser</w:t>
      </w:r>
      <w:r w:rsidR="00EE3D45">
        <w:rPr>
          <w:rFonts w:ascii="Times New Roman" w:hAnsi="Times New Roman" w:cs="Times New Roman"/>
        </w:rPr>
        <w:t>. Det finns inget i betänkandet som visar på att de begränsningar som TF/</w:t>
      </w:r>
      <w:proofErr w:type="spellStart"/>
      <w:r w:rsidR="00EE3D45">
        <w:rPr>
          <w:rFonts w:ascii="Times New Roman" w:hAnsi="Times New Roman" w:cs="Times New Roman"/>
        </w:rPr>
        <w:t>YGL</w:t>
      </w:r>
      <w:proofErr w:type="spellEnd"/>
      <w:r w:rsidR="00EE3D45">
        <w:rPr>
          <w:rFonts w:ascii="Times New Roman" w:hAnsi="Times New Roman" w:cs="Times New Roman"/>
        </w:rPr>
        <w:t xml:space="preserve"> lägger för det internationella samarbetet skulle vara ett problem i praktiken</w:t>
      </w:r>
      <w:r w:rsidR="009C2D7E">
        <w:rPr>
          <w:rFonts w:ascii="Times New Roman" w:hAnsi="Times New Roman" w:cs="Times New Roman"/>
        </w:rPr>
        <w:t xml:space="preserve"> för våra relationer till andra länder</w:t>
      </w:r>
      <w:r w:rsidR="00EE3D45">
        <w:rPr>
          <w:rFonts w:ascii="Times New Roman" w:hAnsi="Times New Roman" w:cs="Times New Roman"/>
        </w:rPr>
        <w:t xml:space="preserve">. </w:t>
      </w:r>
      <w:r w:rsidR="00B15E7C">
        <w:rPr>
          <w:rFonts w:ascii="Times New Roman" w:hAnsi="Times New Roman" w:cs="Times New Roman"/>
        </w:rPr>
        <w:t xml:space="preserve">Som kommittén konstaterar (s. 341) har den svenska hållningen inte varit föremål för en rättslig prövning inom EU. Kommittén fortsätter ”det kan dock diskuteras om den här hållningen täcker in alla situationer där rättsligt bistånd kan aktualiseras” och </w:t>
      </w:r>
      <w:r w:rsidR="009C2D7E">
        <w:rPr>
          <w:rFonts w:ascii="Times New Roman" w:hAnsi="Times New Roman" w:cs="Times New Roman"/>
        </w:rPr>
        <w:t xml:space="preserve">ifrågasätter </w:t>
      </w:r>
      <w:r w:rsidR="00B15E7C">
        <w:rPr>
          <w:rFonts w:ascii="Times New Roman" w:hAnsi="Times New Roman" w:cs="Times New Roman"/>
        </w:rPr>
        <w:t>om den är långsiktigt hållbar.</w:t>
      </w:r>
      <w:r w:rsidR="009C2D7E">
        <w:rPr>
          <w:rFonts w:ascii="Times New Roman" w:hAnsi="Times New Roman" w:cs="Times New Roman"/>
        </w:rPr>
        <w:t xml:space="preserve"> Argumentationen och slutsatserna är svagt underbyggda.</w:t>
      </w:r>
    </w:p>
    <w:p w14:paraId="6B886764" w14:textId="77777777" w:rsidR="00B15E7C" w:rsidRDefault="00B15E7C">
      <w:pPr>
        <w:rPr>
          <w:rFonts w:ascii="Times New Roman" w:hAnsi="Times New Roman" w:cs="Times New Roman"/>
        </w:rPr>
      </w:pPr>
    </w:p>
    <w:p w14:paraId="121421E4" w14:textId="28CFBAFA" w:rsidR="00B15E7C" w:rsidRDefault="00B15E7C">
      <w:pPr>
        <w:rPr>
          <w:rFonts w:ascii="Times New Roman" w:hAnsi="Times New Roman" w:cs="Times New Roman"/>
        </w:rPr>
      </w:pPr>
      <w:r>
        <w:rPr>
          <w:rFonts w:ascii="Times New Roman" w:hAnsi="Times New Roman" w:cs="Times New Roman"/>
        </w:rPr>
        <w:t>Redan på denna grund bör förslaget om att skapa ett ”hål” i TF/</w:t>
      </w:r>
      <w:proofErr w:type="spellStart"/>
      <w:r>
        <w:rPr>
          <w:rFonts w:ascii="Times New Roman" w:hAnsi="Times New Roman" w:cs="Times New Roman"/>
        </w:rPr>
        <w:t>YGL</w:t>
      </w:r>
      <w:proofErr w:type="spellEnd"/>
      <w:r>
        <w:rPr>
          <w:rFonts w:ascii="Times New Roman" w:hAnsi="Times New Roman" w:cs="Times New Roman"/>
        </w:rPr>
        <w:t xml:space="preserve"> för att i lag göra det möjligt att bistå andra länder inom TF/</w:t>
      </w:r>
      <w:proofErr w:type="spellStart"/>
      <w:r>
        <w:rPr>
          <w:rFonts w:ascii="Times New Roman" w:hAnsi="Times New Roman" w:cs="Times New Roman"/>
        </w:rPr>
        <w:t>YGL</w:t>
      </w:r>
      <w:proofErr w:type="spellEnd"/>
      <w:r>
        <w:rPr>
          <w:rFonts w:ascii="Times New Roman" w:hAnsi="Times New Roman" w:cs="Times New Roman"/>
        </w:rPr>
        <w:t xml:space="preserve"> området avslås.</w:t>
      </w:r>
    </w:p>
    <w:p w14:paraId="210F650A" w14:textId="77777777" w:rsidR="00B15E7C" w:rsidRDefault="00B15E7C">
      <w:pPr>
        <w:rPr>
          <w:rFonts w:ascii="Times New Roman" w:hAnsi="Times New Roman" w:cs="Times New Roman"/>
        </w:rPr>
      </w:pPr>
    </w:p>
    <w:p w14:paraId="4E562E03" w14:textId="13954198" w:rsidR="00F16B65" w:rsidRDefault="00B15E7C">
      <w:pPr>
        <w:rPr>
          <w:rFonts w:ascii="Times New Roman" w:hAnsi="Times New Roman" w:cs="Times New Roman"/>
        </w:rPr>
      </w:pPr>
      <w:r>
        <w:rPr>
          <w:rFonts w:ascii="Times New Roman" w:hAnsi="Times New Roman" w:cs="Times New Roman"/>
        </w:rPr>
        <w:t>K</w:t>
      </w:r>
      <w:r w:rsidR="002D7ACC">
        <w:rPr>
          <w:rFonts w:ascii="Times New Roman" w:hAnsi="Times New Roman" w:cs="Times New Roman"/>
        </w:rPr>
        <w:t>ommittén</w:t>
      </w:r>
      <w:r>
        <w:rPr>
          <w:rFonts w:ascii="Times New Roman" w:hAnsi="Times New Roman" w:cs="Times New Roman"/>
        </w:rPr>
        <w:t xml:space="preserve">s förslag </w:t>
      </w:r>
      <w:r w:rsidR="002D7ACC">
        <w:rPr>
          <w:rFonts w:ascii="Times New Roman" w:hAnsi="Times New Roman" w:cs="Times New Roman"/>
        </w:rPr>
        <w:t xml:space="preserve">innebär </w:t>
      </w:r>
      <w:r>
        <w:rPr>
          <w:rFonts w:ascii="Times New Roman" w:hAnsi="Times New Roman" w:cs="Times New Roman"/>
        </w:rPr>
        <w:t xml:space="preserve">också </w:t>
      </w:r>
      <w:r w:rsidR="002D7ACC">
        <w:rPr>
          <w:rFonts w:ascii="Times New Roman" w:hAnsi="Times New Roman" w:cs="Times New Roman"/>
        </w:rPr>
        <w:t>att Sverige tar ytterligare steg bort från traditionen att TF/</w:t>
      </w:r>
      <w:proofErr w:type="spellStart"/>
      <w:r w:rsidR="002D7ACC">
        <w:rPr>
          <w:rFonts w:ascii="Times New Roman" w:hAnsi="Times New Roman" w:cs="Times New Roman"/>
        </w:rPr>
        <w:t>YGL</w:t>
      </w:r>
      <w:proofErr w:type="spellEnd"/>
      <w:r w:rsidR="002D7ACC">
        <w:rPr>
          <w:rFonts w:ascii="Times New Roman" w:hAnsi="Times New Roman" w:cs="Times New Roman"/>
        </w:rPr>
        <w:t xml:space="preserve"> ska utgöra ett skydd inte bara för svenska medborgare utan även för oppositionella i exil.</w:t>
      </w:r>
      <w:r w:rsidR="00F16B65">
        <w:rPr>
          <w:rFonts w:ascii="Times New Roman" w:hAnsi="Times New Roman" w:cs="Times New Roman"/>
        </w:rPr>
        <w:t xml:space="preserve"> Det har </w:t>
      </w:r>
      <w:r w:rsidR="002D7ACC">
        <w:rPr>
          <w:rFonts w:ascii="Times New Roman" w:hAnsi="Times New Roman" w:cs="Times New Roman"/>
        </w:rPr>
        <w:t>bland annat</w:t>
      </w:r>
      <w:r w:rsidR="00F16B65">
        <w:rPr>
          <w:rFonts w:ascii="Times New Roman" w:hAnsi="Times New Roman" w:cs="Times New Roman"/>
        </w:rPr>
        <w:t xml:space="preserve"> </w:t>
      </w:r>
      <w:r w:rsidR="002D7ACC">
        <w:rPr>
          <w:rFonts w:ascii="Times New Roman" w:hAnsi="Times New Roman" w:cs="Times New Roman"/>
        </w:rPr>
        <w:t xml:space="preserve">kommit till </w:t>
      </w:r>
      <w:r w:rsidR="00F16B65">
        <w:rPr>
          <w:rFonts w:ascii="Times New Roman" w:hAnsi="Times New Roman" w:cs="Times New Roman"/>
        </w:rPr>
        <w:t>uttryck i att uppgiftslämnare till utländska korrespondenter verksamma här haft samma anonymitetsskydd som de som lämnar uppgifter till svenska journalister. Även skrifter tryckta i Sverige men i huvudsak</w:t>
      </w:r>
      <w:r w:rsidR="00B849C0">
        <w:rPr>
          <w:rFonts w:ascii="Times New Roman" w:hAnsi="Times New Roman" w:cs="Times New Roman"/>
        </w:rPr>
        <w:t xml:space="preserve"> </w:t>
      </w:r>
      <w:r w:rsidR="00F16B65">
        <w:rPr>
          <w:rFonts w:ascii="Times New Roman" w:hAnsi="Times New Roman" w:cs="Times New Roman"/>
        </w:rPr>
        <w:t>avsedda för spridning i utlandet har omfattats av skyddet.</w:t>
      </w:r>
    </w:p>
    <w:p w14:paraId="5EDE543F" w14:textId="77777777" w:rsidR="00F16B65" w:rsidRDefault="00F16B65">
      <w:pPr>
        <w:rPr>
          <w:rFonts w:ascii="Times New Roman" w:hAnsi="Times New Roman" w:cs="Times New Roman"/>
        </w:rPr>
      </w:pPr>
    </w:p>
    <w:p w14:paraId="25B2C2E0" w14:textId="77777777" w:rsidR="008639F9" w:rsidRDefault="00F16B65">
      <w:pPr>
        <w:rPr>
          <w:rFonts w:ascii="Times New Roman" w:hAnsi="Times New Roman" w:cs="Times New Roman"/>
        </w:rPr>
      </w:pPr>
      <w:r>
        <w:rPr>
          <w:rFonts w:ascii="Times New Roman" w:hAnsi="Times New Roman" w:cs="Times New Roman"/>
        </w:rPr>
        <w:t>TF/</w:t>
      </w:r>
      <w:proofErr w:type="spellStart"/>
      <w:r>
        <w:rPr>
          <w:rFonts w:ascii="Times New Roman" w:hAnsi="Times New Roman" w:cs="Times New Roman"/>
        </w:rPr>
        <w:t>YGL:s</w:t>
      </w:r>
      <w:proofErr w:type="spellEnd"/>
      <w:r>
        <w:rPr>
          <w:rFonts w:ascii="Times New Roman" w:hAnsi="Times New Roman" w:cs="Times New Roman"/>
        </w:rPr>
        <w:t xml:space="preserve"> utformning har inneburit att propåer från andra länder att bistå med rättsliga åtgärder t.ex. beslag eller förhör i de fall brotten faller in under TF/</w:t>
      </w:r>
      <w:proofErr w:type="spellStart"/>
      <w:r>
        <w:rPr>
          <w:rFonts w:ascii="Times New Roman" w:hAnsi="Times New Roman" w:cs="Times New Roman"/>
        </w:rPr>
        <w:t>YGL</w:t>
      </w:r>
      <w:proofErr w:type="spellEnd"/>
      <w:r>
        <w:rPr>
          <w:rFonts w:ascii="Times New Roman" w:hAnsi="Times New Roman" w:cs="Times New Roman"/>
        </w:rPr>
        <w:t xml:space="preserve"> avvisats. För att rättsligt bistånd överhuvudtaget ska kunna beviljas måste det gälla en gärning som är straffbelagda både i Sverige och i det land </w:t>
      </w:r>
      <w:r w:rsidR="008639F9">
        <w:rPr>
          <w:rFonts w:ascii="Times New Roman" w:hAnsi="Times New Roman" w:cs="Times New Roman"/>
        </w:rPr>
        <w:t>som framställer begäran.</w:t>
      </w:r>
    </w:p>
    <w:p w14:paraId="2D181B4B" w14:textId="77777777" w:rsidR="008639F9" w:rsidRDefault="008639F9">
      <w:pPr>
        <w:rPr>
          <w:rFonts w:ascii="Times New Roman" w:hAnsi="Times New Roman" w:cs="Times New Roman"/>
        </w:rPr>
      </w:pPr>
    </w:p>
    <w:p w14:paraId="3944B199" w14:textId="7F533F3D" w:rsidR="00075B34" w:rsidRDefault="002D7ACC">
      <w:pPr>
        <w:rPr>
          <w:rFonts w:ascii="Times New Roman" w:hAnsi="Times New Roman" w:cs="Times New Roman"/>
        </w:rPr>
      </w:pPr>
      <w:r>
        <w:rPr>
          <w:rFonts w:ascii="Times New Roman" w:hAnsi="Times New Roman" w:cs="Times New Roman"/>
        </w:rPr>
        <w:t>Förslag från Yttrandefrihetskommittén har lett till ändringar av TF/</w:t>
      </w:r>
      <w:proofErr w:type="spellStart"/>
      <w:r>
        <w:rPr>
          <w:rFonts w:ascii="Times New Roman" w:hAnsi="Times New Roman" w:cs="Times New Roman"/>
        </w:rPr>
        <w:t>YGL</w:t>
      </w:r>
      <w:proofErr w:type="spellEnd"/>
      <w:r>
        <w:rPr>
          <w:rFonts w:ascii="Times New Roman" w:hAnsi="Times New Roman" w:cs="Times New Roman"/>
        </w:rPr>
        <w:t xml:space="preserve"> som </w:t>
      </w:r>
      <w:r w:rsidR="008639F9">
        <w:rPr>
          <w:rFonts w:ascii="Times New Roman" w:hAnsi="Times New Roman" w:cs="Times New Roman"/>
        </w:rPr>
        <w:t>begränsa</w:t>
      </w:r>
      <w:r>
        <w:rPr>
          <w:rFonts w:ascii="Times New Roman" w:hAnsi="Times New Roman" w:cs="Times New Roman"/>
        </w:rPr>
        <w:t>t</w:t>
      </w:r>
      <w:r w:rsidR="008639F9">
        <w:rPr>
          <w:rFonts w:ascii="Times New Roman" w:hAnsi="Times New Roman" w:cs="Times New Roman"/>
        </w:rPr>
        <w:t xml:space="preserve"> skyddet för utländska korrespondenters verksamhet </w:t>
      </w:r>
      <w:r>
        <w:rPr>
          <w:rFonts w:ascii="Times New Roman" w:hAnsi="Times New Roman" w:cs="Times New Roman"/>
        </w:rPr>
        <w:t>här i landet</w:t>
      </w:r>
      <w:r w:rsidR="008639F9">
        <w:rPr>
          <w:rFonts w:ascii="Times New Roman" w:hAnsi="Times New Roman" w:cs="Times New Roman"/>
        </w:rPr>
        <w:t>.</w:t>
      </w:r>
    </w:p>
    <w:p w14:paraId="2CCCEA15" w14:textId="77777777" w:rsidR="00EB6811" w:rsidRDefault="00EB6811">
      <w:pPr>
        <w:rPr>
          <w:rFonts w:ascii="Times New Roman" w:hAnsi="Times New Roman" w:cs="Times New Roman"/>
        </w:rPr>
      </w:pPr>
    </w:p>
    <w:p w14:paraId="09F64443" w14:textId="0B8E2F14" w:rsidR="00B849C0" w:rsidRDefault="00A73AA5">
      <w:pPr>
        <w:rPr>
          <w:rFonts w:ascii="Times New Roman" w:hAnsi="Times New Roman" w:cs="Times New Roman"/>
        </w:rPr>
      </w:pPr>
      <w:r>
        <w:rPr>
          <w:rFonts w:ascii="Times New Roman" w:hAnsi="Times New Roman" w:cs="Times New Roman"/>
        </w:rPr>
        <w:t xml:space="preserve">För att göra något åt det som kommittén </w:t>
      </w:r>
      <w:r w:rsidR="002D7ACC">
        <w:rPr>
          <w:rFonts w:ascii="Times New Roman" w:hAnsi="Times New Roman" w:cs="Times New Roman"/>
        </w:rPr>
        <w:t xml:space="preserve">betraktar </w:t>
      </w:r>
      <w:r>
        <w:rPr>
          <w:rFonts w:ascii="Times New Roman" w:hAnsi="Times New Roman" w:cs="Times New Roman"/>
        </w:rPr>
        <w:t xml:space="preserve">som ett problem föreslår den införandet av en </w:t>
      </w:r>
      <w:r w:rsidR="002D7ACC">
        <w:rPr>
          <w:rFonts w:ascii="Times New Roman" w:hAnsi="Times New Roman" w:cs="Times New Roman"/>
        </w:rPr>
        <w:t xml:space="preserve">ny </w:t>
      </w:r>
      <w:r>
        <w:rPr>
          <w:rFonts w:ascii="Times New Roman" w:hAnsi="Times New Roman" w:cs="Times New Roman"/>
        </w:rPr>
        <w:t>delegationsbestämmelse</w:t>
      </w:r>
      <w:r w:rsidR="002D7ACC">
        <w:rPr>
          <w:rFonts w:ascii="Times New Roman" w:hAnsi="Times New Roman" w:cs="Times New Roman"/>
        </w:rPr>
        <w:t xml:space="preserve"> i TF/</w:t>
      </w:r>
      <w:proofErr w:type="spellStart"/>
      <w:r w:rsidR="002D7ACC">
        <w:rPr>
          <w:rFonts w:ascii="Times New Roman" w:hAnsi="Times New Roman" w:cs="Times New Roman"/>
        </w:rPr>
        <w:t>YGL</w:t>
      </w:r>
      <w:proofErr w:type="spellEnd"/>
      <w:r>
        <w:rPr>
          <w:rFonts w:ascii="Times New Roman" w:hAnsi="Times New Roman" w:cs="Times New Roman"/>
        </w:rPr>
        <w:t xml:space="preserve">. Kommittén formulerar förslaget som att ”I fråga om internationellt rättsligt bistånd gäller vad som föreskrivs i lag”. För att begränsa </w:t>
      </w:r>
      <w:r w:rsidR="0047242D">
        <w:rPr>
          <w:rFonts w:ascii="Times New Roman" w:hAnsi="Times New Roman" w:cs="Times New Roman"/>
        </w:rPr>
        <w:t xml:space="preserve">det bistånd som ska kunna lämnas vill kommittén att det i samma bestämmelse införs en skrivning om att ”sådant bistånd får </w:t>
      </w:r>
      <w:r>
        <w:rPr>
          <w:rFonts w:ascii="Times New Roman" w:hAnsi="Times New Roman" w:cs="Times New Roman"/>
        </w:rPr>
        <w:t xml:space="preserve">inte </w:t>
      </w:r>
      <w:r w:rsidR="0047242D">
        <w:rPr>
          <w:rFonts w:ascii="Times New Roman" w:hAnsi="Times New Roman" w:cs="Times New Roman"/>
        </w:rPr>
        <w:t>lämnas i strid med svenska allmänna rättsprinciper på det tryck och yttrandefrihetsrättsliga området”</w:t>
      </w:r>
      <w:r w:rsidR="00B849C0">
        <w:rPr>
          <w:rFonts w:ascii="Times New Roman" w:hAnsi="Times New Roman" w:cs="Times New Roman"/>
        </w:rPr>
        <w:t>.</w:t>
      </w:r>
    </w:p>
    <w:p w14:paraId="31EF4662" w14:textId="77777777" w:rsidR="00B849C0" w:rsidRDefault="00B849C0">
      <w:pPr>
        <w:rPr>
          <w:rFonts w:ascii="Times New Roman" w:hAnsi="Times New Roman" w:cs="Times New Roman"/>
        </w:rPr>
      </w:pPr>
    </w:p>
    <w:p w14:paraId="51569E04" w14:textId="407141EF" w:rsidR="00526906" w:rsidRDefault="0047242D">
      <w:pPr>
        <w:rPr>
          <w:rFonts w:ascii="Times New Roman" w:hAnsi="Times New Roman" w:cs="Times New Roman"/>
        </w:rPr>
      </w:pPr>
      <w:r>
        <w:rPr>
          <w:rFonts w:ascii="Times New Roman" w:hAnsi="Times New Roman" w:cs="Times New Roman"/>
        </w:rPr>
        <w:t xml:space="preserve">Det kan låta betryggande och skulle om det tillämpas fullt ut innebära att rättsläget </w:t>
      </w:r>
      <w:r w:rsidR="00B849C0">
        <w:rPr>
          <w:rFonts w:ascii="Times New Roman" w:hAnsi="Times New Roman" w:cs="Times New Roman"/>
        </w:rPr>
        <w:t>blir</w:t>
      </w:r>
      <w:r>
        <w:rPr>
          <w:rFonts w:ascii="Times New Roman" w:hAnsi="Times New Roman" w:cs="Times New Roman"/>
        </w:rPr>
        <w:t xml:space="preserve"> i stort sett oförändrat. Men kommittén undantar i sin motivtext det särskilda rättegångsförfarandet med JK som exklusiv åklagar</w:t>
      </w:r>
      <w:r w:rsidR="00BC03FB">
        <w:rPr>
          <w:rFonts w:ascii="Times New Roman" w:hAnsi="Times New Roman" w:cs="Times New Roman"/>
        </w:rPr>
        <w:t>e</w:t>
      </w:r>
      <w:r>
        <w:rPr>
          <w:rFonts w:ascii="Times New Roman" w:hAnsi="Times New Roman" w:cs="Times New Roman"/>
        </w:rPr>
        <w:t xml:space="preserve"> och juryprövning i tryck- och yttrandefrihetsmål. Det inger också betänkligheter att kommittén </w:t>
      </w:r>
      <w:r w:rsidR="00BC03FB">
        <w:rPr>
          <w:rFonts w:ascii="Times New Roman" w:hAnsi="Times New Roman" w:cs="Times New Roman"/>
        </w:rPr>
        <w:t>inte anser att de preskriptionstider som gäller inom TF/</w:t>
      </w:r>
      <w:proofErr w:type="spellStart"/>
      <w:r w:rsidR="00BC03FB">
        <w:rPr>
          <w:rFonts w:ascii="Times New Roman" w:hAnsi="Times New Roman" w:cs="Times New Roman"/>
        </w:rPr>
        <w:t>YGL</w:t>
      </w:r>
      <w:proofErr w:type="spellEnd"/>
      <w:r w:rsidR="00BC03FB">
        <w:rPr>
          <w:rFonts w:ascii="Times New Roman" w:hAnsi="Times New Roman" w:cs="Times New Roman"/>
        </w:rPr>
        <w:t xml:space="preserve"> ska kunna utgöra ett hinder för att lämna bistånd. Det innebär i sin </w:t>
      </w:r>
      <w:r w:rsidR="00B849C0">
        <w:rPr>
          <w:rFonts w:ascii="Times New Roman" w:hAnsi="Times New Roman" w:cs="Times New Roman"/>
        </w:rPr>
        <w:t>tur</w:t>
      </w:r>
      <w:r w:rsidR="00BC03FB">
        <w:rPr>
          <w:rFonts w:ascii="Times New Roman" w:hAnsi="Times New Roman" w:cs="Times New Roman"/>
        </w:rPr>
        <w:t xml:space="preserve"> att kravet på dubbel straffbarhet överges eftersom ett yttrande i t.ex. en skrift som är preskriberad här i Sverige ändå kan leda till att Sverige tillmötesgår en begäran om rättsligt bistånd</w:t>
      </w:r>
      <w:r w:rsidR="00526906">
        <w:rPr>
          <w:rFonts w:ascii="Times New Roman" w:hAnsi="Times New Roman" w:cs="Times New Roman"/>
        </w:rPr>
        <w:t>.</w:t>
      </w:r>
    </w:p>
    <w:p w14:paraId="1E61B32E" w14:textId="77777777" w:rsidR="00526906" w:rsidRDefault="00526906">
      <w:pPr>
        <w:rPr>
          <w:rFonts w:ascii="Times New Roman" w:hAnsi="Times New Roman" w:cs="Times New Roman"/>
        </w:rPr>
      </w:pPr>
    </w:p>
    <w:p w14:paraId="21876027" w14:textId="60AC1C55" w:rsidR="000E6743" w:rsidRDefault="00526906">
      <w:pPr>
        <w:rPr>
          <w:rFonts w:ascii="Times New Roman" w:hAnsi="Times New Roman" w:cs="Times New Roman"/>
        </w:rPr>
      </w:pPr>
      <w:r>
        <w:rPr>
          <w:rFonts w:ascii="Times New Roman" w:hAnsi="Times New Roman" w:cs="Times New Roman"/>
        </w:rPr>
        <w:t>Kommitténs förslag i denna del bör inte genomföras. Det får anses väga tyngre att Sverige även i framtiden</w:t>
      </w:r>
      <w:r w:rsidR="000E6743">
        <w:rPr>
          <w:rFonts w:ascii="Times New Roman" w:hAnsi="Times New Roman" w:cs="Times New Roman"/>
        </w:rPr>
        <w:t xml:space="preserve"> </w:t>
      </w:r>
      <w:r>
        <w:rPr>
          <w:rFonts w:ascii="Times New Roman" w:hAnsi="Times New Roman" w:cs="Times New Roman"/>
        </w:rPr>
        <w:t>framstår som en fristad för personer som berövats sin yttrandefrihet i sina hemländer</w:t>
      </w:r>
      <w:r w:rsidR="00BC03FB">
        <w:rPr>
          <w:rFonts w:ascii="Times New Roman" w:hAnsi="Times New Roman" w:cs="Times New Roman"/>
        </w:rPr>
        <w:t>.</w:t>
      </w:r>
      <w:r w:rsidR="000E6743">
        <w:rPr>
          <w:rFonts w:ascii="Times New Roman" w:hAnsi="Times New Roman" w:cs="Times New Roman"/>
        </w:rPr>
        <w:t xml:space="preserve"> Även om möjligheten att lämna rättsligt bistånd är begränsat finns trots allt ett visst utrymme. Kommittén ger själv ett exempel </w:t>
      </w:r>
      <w:r w:rsidR="00214E22">
        <w:rPr>
          <w:rFonts w:ascii="Times New Roman" w:hAnsi="Times New Roman" w:cs="Times New Roman"/>
        </w:rPr>
        <w:t>(</w:t>
      </w:r>
      <w:r w:rsidR="000E6743">
        <w:rPr>
          <w:rFonts w:ascii="Times New Roman" w:hAnsi="Times New Roman" w:cs="Times New Roman"/>
        </w:rPr>
        <w:t>s. 709</w:t>
      </w:r>
      <w:r w:rsidR="00214E22">
        <w:rPr>
          <w:rFonts w:ascii="Times New Roman" w:hAnsi="Times New Roman" w:cs="Times New Roman"/>
        </w:rPr>
        <w:t>)</w:t>
      </w:r>
      <w:r w:rsidR="000E6743">
        <w:rPr>
          <w:rFonts w:ascii="Times New Roman" w:hAnsi="Times New Roman" w:cs="Times New Roman"/>
        </w:rPr>
        <w:t xml:space="preserve"> när det gäller åtgärder mot meddelare. Att i TF/</w:t>
      </w:r>
      <w:proofErr w:type="spellStart"/>
      <w:r w:rsidR="000E6743">
        <w:rPr>
          <w:rFonts w:ascii="Times New Roman" w:hAnsi="Times New Roman" w:cs="Times New Roman"/>
        </w:rPr>
        <w:t>YGL</w:t>
      </w:r>
      <w:proofErr w:type="spellEnd"/>
      <w:r w:rsidR="000E6743">
        <w:rPr>
          <w:rFonts w:ascii="Times New Roman" w:hAnsi="Times New Roman" w:cs="Times New Roman"/>
        </w:rPr>
        <w:t xml:space="preserve"> öppna för lagstiftaren att i vanlig lag reglera när rättsligt bistånd ska kunna lämnas är även med kommittén begränsning olämplig och undergräver tilltron till hela det yttrandefrihetsrättsliga systemet och </w:t>
      </w:r>
      <w:r w:rsidR="00DA79C6">
        <w:rPr>
          <w:rFonts w:ascii="Times New Roman" w:hAnsi="Times New Roman" w:cs="Times New Roman"/>
        </w:rPr>
        <w:t xml:space="preserve">vilja att </w:t>
      </w:r>
      <w:r w:rsidR="000E6743">
        <w:rPr>
          <w:rFonts w:ascii="Times New Roman" w:hAnsi="Times New Roman" w:cs="Times New Roman"/>
        </w:rPr>
        <w:t>vårda ett 250-årigt a</w:t>
      </w:r>
      <w:r w:rsidR="009C2D7E">
        <w:rPr>
          <w:rFonts w:ascii="Times New Roman" w:hAnsi="Times New Roman" w:cs="Times New Roman"/>
        </w:rPr>
        <w:t>rv av tryck- och yttrandefrihet</w:t>
      </w:r>
      <w:r w:rsidR="00DA79C6">
        <w:rPr>
          <w:rFonts w:ascii="Times New Roman" w:hAnsi="Times New Roman" w:cs="Times New Roman"/>
        </w:rPr>
        <w:t>. Ett arv</w:t>
      </w:r>
      <w:r w:rsidR="009C2D7E">
        <w:rPr>
          <w:rFonts w:ascii="Times New Roman" w:hAnsi="Times New Roman" w:cs="Times New Roman"/>
        </w:rPr>
        <w:t xml:space="preserve"> som precis som Yttrandefrihetskommittén konstatera</w:t>
      </w:r>
      <w:r w:rsidR="00DA79C6">
        <w:rPr>
          <w:rFonts w:ascii="Times New Roman" w:hAnsi="Times New Roman" w:cs="Times New Roman"/>
        </w:rPr>
        <w:t>r</w:t>
      </w:r>
      <w:r w:rsidR="009C2D7E">
        <w:rPr>
          <w:rFonts w:ascii="Times New Roman" w:hAnsi="Times New Roman" w:cs="Times New Roman"/>
        </w:rPr>
        <w:t xml:space="preserve"> i SOU 2015:55 trots allt möts av respekt från andra länder.</w:t>
      </w:r>
    </w:p>
    <w:p w14:paraId="19E76580" w14:textId="77777777" w:rsidR="000E6743" w:rsidRDefault="000E6743">
      <w:pPr>
        <w:rPr>
          <w:rFonts w:ascii="Times New Roman" w:hAnsi="Times New Roman" w:cs="Times New Roman"/>
        </w:rPr>
      </w:pPr>
    </w:p>
    <w:p w14:paraId="5910F447" w14:textId="352BEC95" w:rsidR="002D7ACC" w:rsidRPr="00897280" w:rsidRDefault="0083776E">
      <w:pPr>
        <w:rPr>
          <w:rFonts w:ascii="Times New Roman" w:hAnsi="Times New Roman" w:cs="Times New Roman"/>
          <w:sz w:val="28"/>
        </w:rPr>
      </w:pPr>
      <w:r>
        <w:rPr>
          <w:rFonts w:ascii="Times New Roman" w:hAnsi="Times New Roman" w:cs="Times New Roman"/>
        </w:rPr>
        <w:t>/////</w:t>
      </w:r>
    </w:p>
    <w:sectPr w:rsidR="002D7ACC" w:rsidRPr="00897280" w:rsidSect="006643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F2"/>
    <w:rsid w:val="00075B34"/>
    <w:rsid w:val="000E6743"/>
    <w:rsid w:val="000E7910"/>
    <w:rsid w:val="00113A3A"/>
    <w:rsid w:val="0013106F"/>
    <w:rsid w:val="001440FD"/>
    <w:rsid w:val="001F0BA5"/>
    <w:rsid w:val="001F72B8"/>
    <w:rsid w:val="00200C96"/>
    <w:rsid w:val="00214E22"/>
    <w:rsid w:val="00265077"/>
    <w:rsid w:val="002D7ACC"/>
    <w:rsid w:val="00325E5D"/>
    <w:rsid w:val="003637F3"/>
    <w:rsid w:val="003A67FD"/>
    <w:rsid w:val="003B6C5F"/>
    <w:rsid w:val="003D3EC3"/>
    <w:rsid w:val="003E4325"/>
    <w:rsid w:val="004110F2"/>
    <w:rsid w:val="00447A1F"/>
    <w:rsid w:val="00463558"/>
    <w:rsid w:val="0047242D"/>
    <w:rsid w:val="00473252"/>
    <w:rsid w:val="004978B8"/>
    <w:rsid w:val="004E2F0C"/>
    <w:rsid w:val="004F254A"/>
    <w:rsid w:val="00526906"/>
    <w:rsid w:val="0059625D"/>
    <w:rsid w:val="006076F8"/>
    <w:rsid w:val="00643CC7"/>
    <w:rsid w:val="00645732"/>
    <w:rsid w:val="00664369"/>
    <w:rsid w:val="00763D1C"/>
    <w:rsid w:val="00781687"/>
    <w:rsid w:val="007852D1"/>
    <w:rsid w:val="00785C75"/>
    <w:rsid w:val="00791EAF"/>
    <w:rsid w:val="0083776E"/>
    <w:rsid w:val="00846634"/>
    <w:rsid w:val="00851FD3"/>
    <w:rsid w:val="008639F9"/>
    <w:rsid w:val="00893520"/>
    <w:rsid w:val="00897280"/>
    <w:rsid w:val="008C0BC1"/>
    <w:rsid w:val="008D1A58"/>
    <w:rsid w:val="008E3E2A"/>
    <w:rsid w:val="00901708"/>
    <w:rsid w:val="00946EEF"/>
    <w:rsid w:val="00965956"/>
    <w:rsid w:val="00973919"/>
    <w:rsid w:val="00992B92"/>
    <w:rsid w:val="009C2D7E"/>
    <w:rsid w:val="009C6865"/>
    <w:rsid w:val="009F5F28"/>
    <w:rsid w:val="00A255AC"/>
    <w:rsid w:val="00A25CCC"/>
    <w:rsid w:val="00A44C21"/>
    <w:rsid w:val="00A520FC"/>
    <w:rsid w:val="00A73AA5"/>
    <w:rsid w:val="00AC4923"/>
    <w:rsid w:val="00AE4311"/>
    <w:rsid w:val="00AF43DB"/>
    <w:rsid w:val="00AF4AEA"/>
    <w:rsid w:val="00B15E7C"/>
    <w:rsid w:val="00B22B8B"/>
    <w:rsid w:val="00B56FA9"/>
    <w:rsid w:val="00B849C0"/>
    <w:rsid w:val="00BB504A"/>
    <w:rsid w:val="00BC03FB"/>
    <w:rsid w:val="00BD7598"/>
    <w:rsid w:val="00BE47C1"/>
    <w:rsid w:val="00BF0EE4"/>
    <w:rsid w:val="00C0020A"/>
    <w:rsid w:val="00C07719"/>
    <w:rsid w:val="00C87F83"/>
    <w:rsid w:val="00C90489"/>
    <w:rsid w:val="00C92B97"/>
    <w:rsid w:val="00CB4170"/>
    <w:rsid w:val="00CC53FF"/>
    <w:rsid w:val="00CD76C7"/>
    <w:rsid w:val="00CE3B40"/>
    <w:rsid w:val="00CE4EFB"/>
    <w:rsid w:val="00D02669"/>
    <w:rsid w:val="00D964C1"/>
    <w:rsid w:val="00DA79C6"/>
    <w:rsid w:val="00DE4B8A"/>
    <w:rsid w:val="00DE7F00"/>
    <w:rsid w:val="00E0698C"/>
    <w:rsid w:val="00E34088"/>
    <w:rsid w:val="00E559CF"/>
    <w:rsid w:val="00E83858"/>
    <w:rsid w:val="00E9179C"/>
    <w:rsid w:val="00EB6811"/>
    <w:rsid w:val="00EE3D45"/>
    <w:rsid w:val="00F06FD7"/>
    <w:rsid w:val="00F16B65"/>
    <w:rsid w:val="00FE4592"/>
    <w:rsid w:val="00FE4A4D"/>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5B54C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377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Nils.funcke@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2862</Words>
  <Characters>15172</Characters>
  <Application>Microsoft Macintosh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3</cp:revision>
  <cp:lastPrinted>2017-01-07T08:35:00Z</cp:lastPrinted>
  <dcterms:created xsi:type="dcterms:W3CDTF">2017-01-07T08:36:00Z</dcterms:created>
  <dcterms:modified xsi:type="dcterms:W3CDTF">2017-01-07T08:37:00Z</dcterms:modified>
</cp:coreProperties>
</file>